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B1" w:rsidRPr="00231455" w:rsidRDefault="00B95EB1" w:rsidP="00BB286A">
      <w:pPr>
        <w:tabs>
          <w:tab w:val="left" w:pos="3960"/>
        </w:tabs>
        <w:spacing w:after="0" w:line="240" w:lineRule="auto"/>
        <w:jc w:val="center"/>
        <w:rPr>
          <w:rFonts w:ascii="Times New Roman" w:hAnsi="Times New Roman" w:cs="Times New Roman"/>
          <w:b/>
          <w:bCs/>
          <w:sz w:val="26"/>
          <w:szCs w:val="26"/>
          <w:u w:val="single"/>
        </w:rPr>
      </w:pPr>
    </w:p>
    <w:p w:rsidR="00B95EB1" w:rsidRPr="00231455" w:rsidRDefault="00B95EB1" w:rsidP="00BB286A">
      <w:pPr>
        <w:tabs>
          <w:tab w:val="left" w:pos="3960"/>
        </w:tabs>
        <w:spacing w:after="0" w:line="240" w:lineRule="auto"/>
        <w:jc w:val="center"/>
        <w:rPr>
          <w:rFonts w:ascii="Times New Roman" w:hAnsi="Times New Roman" w:cs="Times New Roman"/>
          <w:b/>
          <w:bCs/>
          <w:sz w:val="26"/>
          <w:szCs w:val="26"/>
          <w:u w:val="single"/>
        </w:rPr>
      </w:pPr>
      <w:r w:rsidRPr="00231455">
        <w:rPr>
          <w:rFonts w:ascii="Times New Roman" w:hAnsi="Times New Roman" w:cs="Times New Roman"/>
          <w:b/>
          <w:bCs/>
          <w:sz w:val="26"/>
          <w:szCs w:val="26"/>
          <w:u w:val="single"/>
        </w:rPr>
        <w:t>NOTĂ DE FUNDAMENTARE</w:t>
      </w:r>
    </w:p>
    <w:p w:rsidR="00B95EB1" w:rsidRPr="00231455" w:rsidRDefault="00B95EB1" w:rsidP="00BB286A">
      <w:pPr>
        <w:tabs>
          <w:tab w:val="left" w:pos="3960"/>
        </w:tabs>
        <w:spacing w:after="0" w:line="240" w:lineRule="auto"/>
        <w:jc w:val="center"/>
        <w:rPr>
          <w:rFonts w:ascii="Times New Roman" w:hAnsi="Times New Roman" w:cs="Times New Roman"/>
          <w:b/>
          <w:bCs/>
          <w:sz w:val="26"/>
          <w:szCs w:val="26"/>
          <w:u w:val="single"/>
        </w:rPr>
      </w:pPr>
    </w:p>
    <w:p w:rsidR="00B95EB1" w:rsidRPr="00231455" w:rsidRDefault="00B95EB1" w:rsidP="00BB286A">
      <w:pPr>
        <w:tabs>
          <w:tab w:val="left" w:pos="3960"/>
        </w:tabs>
        <w:spacing w:after="0" w:line="240" w:lineRule="auto"/>
        <w:jc w:val="center"/>
        <w:rPr>
          <w:rFonts w:ascii="Times New Roman" w:hAnsi="Times New Roman" w:cs="Times New Roman"/>
          <w:b/>
          <w:bCs/>
          <w:sz w:val="26"/>
          <w:szCs w:val="26"/>
          <w:u w:val="single"/>
        </w:rPr>
      </w:pPr>
    </w:p>
    <w:tbl>
      <w:tblPr>
        <w:tblW w:w="504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7"/>
        <w:gridCol w:w="98"/>
        <w:gridCol w:w="9"/>
        <w:gridCol w:w="1260"/>
        <w:gridCol w:w="540"/>
        <w:gridCol w:w="667"/>
        <w:gridCol w:w="593"/>
        <w:gridCol w:w="540"/>
        <w:gridCol w:w="1800"/>
      </w:tblGrid>
      <w:tr w:rsidR="00B95EB1" w:rsidRPr="00231455" w:rsidTr="00C11A4B">
        <w:tc>
          <w:tcPr>
            <w:tcW w:w="9934" w:type="dxa"/>
            <w:gridSpan w:val="9"/>
          </w:tcPr>
          <w:p w:rsidR="00B95EB1" w:rsidRPr="00231455" w:rsidRDefault="00B95EB1" w:rsidP="00BB286A">
            <w:pPr>
              <w:tabs>
                <w:tab w:val="left" w:pos="3960"/>
              </w:tabs>
              <w:spacing w:after="0" w:line="240" w:lineRule="auto"/>
              <w:jc w:val="center"/>
              <w:rPr>
                <w:rFonts w:ascii="Times New Roman" w:hAnsi="Times New Roman" w:cs="Times New Roman"/>
                <w:b/>
                <w:bCs/>
                <w:sz w:val="26"/>
                <w:szCs w:val="26"/>
              </w:rPr>
            </w:pPr>
            <w:r w:rsidRPr="00231455">
              <w:rPr>
                <w:rFonts w:ascii="Times New Roman" w:hAnsi="Times New Roman" w:cs="Times New Roman"/>
                <w:b/>
                <w:bCs/>
                <w:sz w:val="26"/>
                <w:szCs w:val="26"/>
              </w:rPr>
              <w:t>Secţiunea 1</w:t>
            </w:r>
          </w:p>
          <w:p w:rsidR="00B95EB1" w:rsidRPr="00231455" w:rsidRDefault="00B95EB1" w:rsidP="00BB286A">
            <w:pPr>
              <w:tabs>
                <w:tab w:val="left" w:pos="3960"/>
              </w:tabs>
              <w:spacing w:after="0" w:line="240" w:lineRule="auto"/>
              <w:jc w:val="center"/>
              <w:rPr>
                <w:rFonts w:ascii="Times New Roman" w:hAnsi="Times New Roman" w:cs="Times New Roman"/>
                <w:b/>
                <w:bCs/>
                <w:sz w:val="26"/>
                <w:szCs w:val="26"/>
              </w:rPr>
            </w:pPr>
            <w:r w:rsidRPr="00231455">
              <w:rPr>
                <w:rFonts w:ascii="Times New Roman" w:hAnsi="Times New Roman" w:cs="Times New Roman"/>
                <w:b/>
                <w:bCs/>
                <w:sz w:val="26"/>
                <w:szCs w:val="26"/>
              </w:rPr>
              <w:t>Titlul prezentului proiect de act normativ</w:t>
            </w:r>
          </w:p>
          <w:p w:rsidR="00B95EB1" w:rsidRPr="00231455" w:rsidRDefault="00B95EB1" w:rsidP="00BB286A">
            <w:pPr>
              <w:spacing w:after="0" w:line="240" w:lineRule="auto"/>
              <w:jc w:val="center"/>
              <w:rPr>
                <w:rFonts w:ascii="Times New Roman" w:hAnsi="Times New Roman" w:cs="Times New Roman"/>
                <w:b/>
                <w:bCs/>
                <w:sz w:val="26"/>
                <w:szCs w:val="26"/>
                <w:lang w:eastAsia="ro-RO"/>
              </w:rPr>
            </w:pPr>
          </w:p>
          <w:p w:rsidR="00B95EB1" w:rsidRPr="00231455" w:rsidRDefault="00B95EB1" w:rsidP="001A61D2">
            <w:pPr>
              <w:tabs>
                <w:tab w:val="left" w:pos="990"/>
                <w:tab w:val="left" w:pos="3960"/>
              </w:tabs>
              <w:spacing w:after="0" w:line="240" w:lineRule="auto"/>
              <w:jc w:val="center"/>
              <w:rPr>
                <w:rFonts w:ascii="Times New Roman" w:hAnsi="Times New Roman" w:cs="Times New Roman"/>
                <w:b/>
                <w:bCs/>
                <w:sz w:val="26"/>
                <w:szCs w:val="26"/>
                <w:lang w:eastAsia="ro-RO"/>
              </w:rPr>
            </w:pPr>
            <w:r w:rsidRPr="00231455">
              <w:rPr>
                <w:rFonts w:ascii="Times New Roman" w:hAnsi="Times New Roman" w:cs="Times New Roman"/>
                <w:b/>
                <w:bCs/>
                <w:sz w:val="26"/>
                <w:szCs w:val="26"/>
                <w:lang w:eastAsia="ro-RO"/>
              </w:rPr>
              <w:t>HOTĂRÂRE</w:t>
            </w:r>
          </w:p>
          <w:p w:rsidR="00B95EB1" w:rsidRPr="00231455" w:rsidRDefault="00B95EB1" w:rsidP="001A61D2">
            <w:pPr>
              <w:tabs>
                <w:tab w:val="left" w:pos="990"/>
                <w:tab w:val="left" w:pos="3960"/>
              </w:tabs>
              <w:spacing w:after="0" w:line="240" w:lineRule="auto"/>
              <w:jc w:val="center"/>
              <w:rPr>
                <w:rFonts w:ascii="Times New Roman" w:hAnsi="Times New Roman" w:cs="Times New Roman"/>
                <w:sz w:val="24"/>
                <w:szCs w:val="24"/>
              </w:rPr>
            </w:pPr>
            <w:r w:rsidRPr="00231455">
              <w:rPr>
                <w:rFonts w:ascii="Times New Roman" w:hAnsi="Times New Roman" w:cs="Times New Roman"/>
                <w:b/>
                <w:noProof/>
                <w:sz w:val="24"/>
                <w:szCs w:val="24"/>
              </w:rPr>
              <w:t>pentru aprobarea pachetelor de servicii şi a Contractului-cadru care reglementează condiţiile acordării asistenţei medicale în cadrul sistemului de asigurări sociale de sănătate pentru anii 2016- 2017</w:t>
            </w:r>
          </w:p>
        </w:tc>
      </w:tr>
      <w:tr w:rsidR="00B95EB1" w:rsidRPr="00231455" w:rsidTr="00C11A4B">
        <w:trPr>
          <w:trHeight w:val="566"/>
        </w:trPr>
        <w:tc>
          <w:tcPr>
            <w:tcW w:w="9934" w:type="dxa"/>
            <w:gridSpan w:val="9"/>
          </w:tcPr>
          <w:p w:rsidR="00B95EB1" w:rsidRPr="00231455" w:rsidRDefault="00B95EB1" w:rsidP="00747CD9">
            <w:pPr>
              <w:tabs>
                <w:tab w:val="left" w:pos="3960"/>
              </w:tabs>
              <w:spacing w:after="0" w:line="240" w:lineRule="auto"/>
              <w:jc w:val="center"/>
              <w:rPr>
                <w:rFonts w:ascii="Times New Roman" w:hAnsi="Times New Roman" w:cs="Times New Roman"/>
                <w:b/>
                <w:bCs/>
                <w:sz w:val="26"/>
                <w:szCs w:val="26"/>
              </w:rPr>
            </w:pPr>
          </w:p>
          <w:p w:rsidR="00B95EB1" w:rsidRPr="00231455" w:rsidRDefault="00B95EB1" w:rsidP="00747CD9">
            <w:pPr>
              <w:tabs>
                <w:tab w:val="left" w:pos="3960"/>
              </w:tabs>
              <w:spacing w:after="0" w:line="240" w:lineRule="auto"/>
              <w:jc w:val="center"/>
              <w:rPr>
                <w:rFonts w:ascii="Times New Roman" w:hAnsi="Times New Roman" w:cs="Times New Roman"/>
                <w:b/>
                <w:bCs/>
                <w:sz w:val="26"/>
                <w:szCs w:val="26"/>
              </w:rPr>
            </w:pPr>
            <w:r w:rsidRPr="00231455">
              <w:rPr>
                <w:rFonts w:ascii="Times New Roman" w:hAnsi="Times New Roman" w:cs="Times New Roman"/>
                <w:b/>
                <w:bCs/>
                <w:sz w:val="26"/>
                <w:szCs w:val="26"/>
              </w:rPr>
              <w:t>Secţiunea a 2 – a</w:t>
            </w:r>
          </w:p>
          <w:p w:rsidR="00B95EB1" w:rsidRPr="00231455" w:rsidRDefault="00B95EB1" w:rsidP="00747CD9">
            <w:pPr>
              <w:tabs>
                <w:tab w:val="left" w:pos="3960"/>
              </w:tabs>
              <w:spacing w:after="0" w:line="240" w:lineRule="auto"/>
              <w:jc w:val="center"/>
              <w:rPr>
                <w:rFonts w:ascii="Times New Roman" w:hAnsi="Times New Roman" w:cs="Times New Roman"/>
                <w:b/>
                <w:bCs/>
                <w:sz w:val="26"/>
                <w:szCs w:val="26"/>
              </w:rPr>
            </w:pPr>
            <w:r w:rsidRPr="00231455">
              <w:rPr>
                <w:rFonts w:ascii="Times New Roman" w:hAnsi="Times New Roman" w:cs="Times New Roman"/>
                <w:b/>
                <w:bCs/>
                <w:sz w:val="26"/>
                <w:szCs w:val="26"/>
              </w:rPr>
              <w:t>Motivul emiterii actului normativ</w:t>
            </w:r>
          </w:p>
          <w:p w:rsidR="00B95EB1" w:rsidRPr="00231455" w:rsidRDefault="00B95EB1" w:rsidP="00747CD9">
            <w:pPr>
              <w:tabs>
                <w:tab w:val="left" w:pos="3960"/>
              </w:tabs>
              <w:spacing w:after="0" w:line="240" w:lineRule="auto"/>
              <w:jc w:val="center"/>
              <w:rPr>
                <w:rFonts w:ascii="Times New Roman" w:hAnsi="Times New Roman" w:cs="Times New Roman"/>
                <w:b/>
                <w:bCs/>
                <w:sz w:val="26"/>
                <w:szCs w:val="26"/>
              </w:rPr>
            </w:pPr>
          </w:p>
          <w:p w:rsidR="00B95EB1" w:rsidRPr="00231455" w:rsidRDefault="0060485D" w:rsidP="00A35A9B">
            <w:pPr>
              <w:spacing w:after="0" w:line="240" w:lineRule="auto"/>
              <w:jc w:val="both"/>
              <w:rPr>
                <w:rFonts w:ascii="Times New Roman" w:hAnsi="Times New Roman" w:cs="Times New Roman"/>
                <w:b/>
                <w:bCs/>
                <w:sz w:val="26"/>
                <w:szCs w:val="26"/>
              </w:rPr>
            </w:pPr>
            <w:r>
              <w:rPr>
                <w:rFonts w:ascii="Times New Roman" w:hAnsi="Times New Roman" w:cs="Times New Roman"/>
                <w:noProof/>
                <w:sz w:val="24"/>
                <w:szCs w:val="24"/>
              </w:rPr>
              <w:t xml:space="preserve">     </w:t>
            </w:r>
            <w:r w:rsidR="00B95EB1" w:rsidRPr="00FC40E3">
              <w:rPr>
                <w:rFonts w:ascii="Times New Roman" w:hAnsi="Times New Roman" w:cs="Times New Roman"/>
                <w:noProof/>
                <w:sz w:val="24"/>
                <w:szCs w:val="24"/>
              </w:rPr>
              <w:t xml:space="preserve">În baza dispoziţiilor art. 229 alin. (2) din Legea nr. 95/2006 privind reforma în domeniul sănătăţii, republicată, </w:t>
            </w:r>
            <w:r w:rsidRPr="00FC40E3">
              <w:rPr>
                <w:rFonts w:ascii="Times New Roman" w:hAnsi="Times New Roman" w:cs="Times New Roman"/>
                <w:noProof/>
                <w:sz w:val="24"/>
                <w:szCs w:val="24"/>
              </w:rPr>
              <w:t xml:space="preserve">cu modificările și completările ulterioare, </w:t>
            </w:r>
            <w:r w:rsidR="00B95EB1" w:rsidRPr="00FC40E3">
              <w:rPr>
                <w:rFonts w:ascii="Times New Roman" w:hAnsi="Times New Roman" w:cs="Times New Roman"/>
                <w:noProof/>
                <w:sz w:val="24"/>
                <w:szCs w:val="24"/>
              </w:rPr>
              <w:t xml:space="preserve">Contractul cadru se elaborează de Casa Naţională de Asigurări de Sănătate, pe baza </w:t>
            </w:r>
            <w:r w:rsidR="00B95EB1" w:rsidRPr="00FC40E3">
              <w:rPr>
                <w:rFonts w:ascii="Times New Roman" w:hAnsi="Times New Roman" w:cs="Times New Roman"/>
                <w:sz w:val="24"/>
                <w:szCs w:val="24"/>
              </w:rPr>
              <w:t>negocierii cu Colegiul Medicilor din România, Colegiul Medicilor Dentişti din România, Colegiul Farmaciştilor din România, Ordinul Asistenţilor Medicali Generalişti, Moaşelor şi Asistenţilor Medicali din România, Ordinul Biochimiştilor, Biologilor şi Chimiştilor, precum şi în urma consultării cu organizaţiile patronale, sindicale şi profesionale reprezentative din domeniul medical.</w:t>
            </w:r>
            <w:r w:rsidR="00A35A9B">
              <w:rPr>
                <w:rFonts w:ascii="Times New Roman" w:hAnsi="Times New Roman" w:cs="Times New Roman"/>
                <w:sz w:val="24"/>
                <w:szCs w:val="24"/>
              </w:rPr>
              <w:t xml:space="preserve"> </w:t>
            </w:r>
            <w:r w:rsidR="00B95EB1" w:rsidRPr="00FC40E3">
              <w:rPr>
                <w:rFonts w:ascii="Times New Roman" w:hAnsi="Times New Roman" w:cs="Times New Roman"/>
                <w:iCs/>
                <w:noProof/>
                <w:sz w:val="24"/>
                <w:szCs w:val="24"/>
                <w:lang w:eastAsia="ro-RO"/>
              </w:rPr>
              <w:t>Proiectul se avizează de Ministerul Sănătăţii şi se ap</w:t>
            </w:r>
            <w:r w:rsidR="00B21E3A">
              <w:rPr>
                <w:rFonts w:ascii="Times New Roman" w:hAnsi="Times New Roman" w:cs="Times New Roman"/>
                <w:iCs/>
                <w:noProof/>
                <w:sz w:val="24"/>
                <w:szCs w:val="24"/>
                <w:lang w:eastAsia="ro-RO"/>
              </w:rPr>
              <w:t>robă prin hotărâre a Guvernului.</w:t>
            </w:r>
          </w:p>
        </w:tc>
      </w:tr>
      <w:tr w:rsidR="00B95EB1" w:rsidRPr="00231455" w:rsidTr="00C11A4B">
        <w:trPr>
          <w:trHeight w:val="620"/>
        </w:trPr>
        <w:tc>
          <w:tcPr>
            <w:tcW w:w="9934" w:type="dxa"/>
            <w:gridSpan w:val="9"/>
          </w:tcPr>
          <w:p w:rsidR="00B95EB1" w:rsidRPr="00231455" w:rsidRDefault="00B95EB1" w:rsidP="00747CD9">
            <w:pPr>
              <w:numPr>
                <w:ilvl w:val="0"/>
                <w:numId w:val="8"/>
              </w:numPr>
              <w:tabs>
                <w:tab w:val="left" w:pos="3960"/>
              </w:tabs>
              <w:spacing w:after="0" w:line="240" w:lineRule="auto"/>
              <w:jc w:val="both"/>
              <w:rPr>
                <w:rFonts w:ascii="Times New Roman" w:hAnsi="Times New Roman" w:cs="Times New Roman"/>
                <w:b/>
                <w:bCs/>
                <w:sz w:val="26"/>
                <w:szCs w:val="26"/>
              </w:rPr>
            </w:pPr>
            <w:r w:rsidRPr="00231455">
              <w:rPr>
                <w:rFonts w:ascii="Times New Roman" w:hAnsi="Times New Roman" w:cs="Times New Roman"/>
                <w:b/>
                <w:bCs/>
                <w:sz w:val="26"/>
                <w:szCs w:val="26"/>
              </w:rPr>
              <w:t>Descrierea situaţiei actuale</w:t>
            </w:r>
          </w:p>
          <w:p w:rsidR="00B95EB1" w:rsidRPr="00231455" w:rsidRDefault="00B95EB1" w:rsidP="00747CD9">
            <w:pPr>
              <w:tabs>
                <w:tab w:val="left" w:pos="3960"/>
              </w:tabs>
              <w:spacing w:after="0" w:line="240" w:lineRule="auto"/>
              <w:ind w:left="360"/>
              <w:jc w:val="both"/>
              <w:rPr>
                <w:rFonts w:ascii="Times New Roman" w:hAnsi="Times New Roman" w:cs="Times New Roman"/>
                <w:b/>
                <w:bCs/>
                <w:sz w:val="26"/>
                <w:szCs w:val="26"/>
              </w:rPr>
            </w:pPr>
          </w:p>
          <w:p w:rsidR="00B95EB1" w:rsidRPr="00FC40E3" w:rsidRDefault="00B95EB1" w:rsidP="00747CD9">
            <w:pPr>
              <w:spacing w:after="0" w:line="240" w:lineRule="auto"/>
              <w:jc w:val="both"/>
              <w:rPr>
                <w:rFonts w:ascii="Times New Roman" w:hAnsi="Times New Roman" w:cs="Times New Roman"/>
                <w:noProof/>
                <w:sz w:val="24"/>
                <w:szCs w:val="24"/>
              </w:rPr>
            </w:pPr>
            <w:r w:rsidRPr="00231455">
              <w:rPr>
                <w:rFonts w:ascii="Times New Roman" w:hAnsi="Times New Roman" w:cs="Times New Roman"/>
                <w:noProof/>
                <w:sz w:val="24"/>
                <w:szCs w:val="24"/>
              </w:rPr>
              <w:t xml:space="preserve">    </w:t>
            </w:r>
            <w:r w:rsidR="00C747C0">
              <w:rPr>
                <w:rFonts w:ascii="Times New Roman" w:hAnsi="Times New Roman" w:cs="Times New Roman"/>
                <w:noProof/>
                <w:sz w:val="24"/>
                <w:szCs w:val="24"/>
              </w:rPr>
              <w:t xml:space="preserve"> </w:t>
            </w:r>
            <w:r w:rsidRPr="00FC40E3">
              <w:rPr>
                <w:rFonts w:ascii="Times New Roman" w:hAnsi="Times New Roman" w:cs="Times New Roman"/>
                <w:noProof/>
                <w:sz w:val="24"/>
                <w:szCs w:val="24"/>
              </w:rPr>
              <w:t>În prezent, în conformitate cu prevederile Legii nr. 95/2006 privind reforma în domeniul sănătăţii, republicată,</w:t>
            </w:r>
            <w:r w:rsidR="00EE7B6F" w:rsidRPr="00FC40E3">
              <w:rPr>
                <w:rFonts w:ascii="Times New Roman" w:hAnsi="Times New Roman" w:cs="Times New Roman"/>
                <w:noProof/>
                <w:sz w:val="24"/>
                <w:szCs w:val="24"/>
              </w:rPr>
              <w:t xml:space="preserve"> cu modificările și completările ulterioare,</w:t>
            </w:r>
            <w:r w:rsidRPr="00FC40E3">
              <w:rPr>
                <w:rFonts w:ascii="Times New Roman" w:hAnsi="Times New Roman" w:cs="Times New Roman"/>
                <w:noProof/>
                <w:sz w:val="24"/>
                <w:szCs w:val="24"/>
              </w:rPr>
              <w:t xml:space="preserve"> persoanele asigurate în condiţiile legii  beneficiază de pachetul de servicii de bază în caz de boală sau de accident, din prima zi de îmbolnăvire sau de la data accidentului şi până la vindecare. Pachetul de servicii de bază cuprinde serviciile medicale, serviciile de îngrijire a sănătăţii, medicamentele, materialele sanitare, dispozitivele medicale şi alte servicii la care au dreptul asiguraţii. Persoanele care nu fac dovada calităţii de asigurat au dreptul la  un pachet de servicii minimal care cuprinde servicii medicale ce se acordă numai în cazul urgenţelor medico-chirurgicale şi al bolilor cu potenţial endemoepidemic, monitorizarea evoluţiei sarcinii şi a lehuzei, servicii de planificare familială, servicii de preventie. </w:t>
            </w:r>
          </w:p>
          <w:p w:rsidR="00B95EB1" w:rsidRPr="00FC40E3" w:rsidRDefault="00B95EB1" w:rsidP="00A35A9B">
            <w:pPr>
              <w:spacing w:after="0" w:line="240" w:lineRule="auto"/>
              <w:jc w:val="both"/>
              <w:rPr>
                <w:rFonts w:ascii="Times New Roman" w:hAnsi="Times New Roman" w:cs="Times New Roman"/>
                <w:bCs/>
                <w:noProof/>
                <w:sz w:val="24"/>
                <w:szCs w:val="24"/>
              </w:rPr>
            </w:pPr>
            <w:r w:rsidRPr="00FC40E3">
              <w:rPr>
                <w:rFonts w:ascii="Times New Roman" w:hAnsi="Times New Roman" w:cs="Times New Roman"/>
                <w:noProof/>
                <w:sz w:val="24"/>
                <w:szCs w:val="24"/>
              </w:rPr>
              <w:t xml:space="preserve">    </w:t>
            </w:r>
            <w:r w:rsidR="00C747C0" w:rsidRPr="00FC40E3">
              <w:rPr>
                <w:rFonts w:ascii="Times New Roman" w:hAnsi="Times New Roman" w:cs="Times New Roman"/>
                <w:noProof/>
                <w:sz w:val="24"/>
                <w:szCs w:val="24"/>
              </w:rPr>
              <w:t xml:space="preserve"> </w:t>
            </w:r>
            <w:r w:rsidRPr="00FC40E3">
              <w:rPr>
                <w:rFonts w:ascii="Times New Roman" w:hAnsi="Times New Roman" w:cs="Times New Roman"/>
                <w:noProof/>
                <w:sz w:val="24"/>
                <w:szCs w:val="24"/>
              </w:rPr>
              <w:t xml:space="preserve">    </w:t>
            </w:r>
            <w:r w:rsidR="00C747C0" w:rsidRPr="00FC40E3">
              <w:rPr>
                <w:rFonts w:ascii="Times New Roman" w:hAnsi="Times New Roman" w:cs="Times New Roman"/>
                <w:noProof/>
                <w:sz w:val="24"/>
                <w:szCs w:val="24"/>
              </w:rPr>
              <w:t xml:space="preserve"> </w:t>
            </w:r>
            <w:r w:rsidR="00A35A9B">
              <w:rPr>
                <w:rFonts w:ascii="Times New Roman" w:hAnsi="Times New Roman" w:cs="Times New Roman"/>
                <w:noProof/>
                <w:sz w:val="24"/>
                <w:szCs w:val="24"/>
              </w:rPr>
              <w:t xml:space="preserve">Pentru serviciile din </w:t>
            </w:r>
            <w:r w:rsidRPr="00FC40E3">
              <w:rPr>
                <w:rFonts w:ascii="Times New Roman" w:hAnsi="Times New Roman" w:cs="Times New Roman"/>
                <w:noProof/>
                <w:sz w:val="24"/>
                <w:szCs w:val="24"/>
              </w:rPr>
              <w:t xml:space="preserve">pachetul minimal </w:t>
            </w:r>
            <w:r w:rsidRPr="00FC40E3">
              <w:rPr>
                <w:rFonts w:ascii="Tahoma" w:hAnsi="Tahoma" w:cs="Times New Roman"/>
                <w:noProof/>
                <w:sz w:val="24"/>
                <w:szCs w:val="24"/>
              </w:rPr>
              <w:t>ș</w:t>
            </w:r>
            <w:r w:rsidRPr="00FC40E3">
              <w:rPr>
                <w:rFonts w:ascii="Times New Roman" w:hAnsi="Times New Roman" w:cs="Times New Roman"/>
                <w:noProof/>
                <w:sz w:val="24"/>
                <w:szCs w:val="24"/>
              </w:rPr>
              <w:t>i pachetul de bază sunt stabilite condi</w:t>
            </w:r>
            <w:r w:rsidRPr="00FC40E3">
              <w:rPr>
                <w:rFonts w:ascii="Tahoma" w:hAnsi="Tahoma" w:cs="Times New Roman"/>
                <w:noProof/>
                <w:sz w:val="24"/>
                <w:szCs w:val="24"/>
              </w:rPr>
              <w:t>ț</w:t>
            </w:r>
            <w:r w:rsidRPr="00FC40E3">
              <w:rPr>
                <w:rFonts w:ascii="Times New Roman" w:hAnsi="Times New Roman" w:cs="Times New Roman"/>
                <w:noProof/>
                <w:sz w:val="24"/>
                <w:szCs w:val="24"/>
              </w:rPr>
              <w:t xml:space="preserve">iile de acordare, </w:t>
            </w:r>
            <w:r w:rsidRPr="00FC40E3">
              <w:rPr>
                <w:rFonts w:ascii="Times New Roman" w:hAnsi="Times New Roman" w:cs="Times New Roman"/>
                <w:bCs/>
                <w:noProof/>
                <w:sz w:val="24"/>
                <w:szCs w:val="24"/>
              </w:rPr>
              <w:t xml:space="preserve"> drepturile </w:t>
            </w:r>
            <w:r w:rsidRPr="00FC40E3">
              <w:rPr>
                <w:rFonts w:ascii="Tahoma" w:hAnsi="Tahoma" w:cs="Times New Roman"/>
                <w:bCs/>
                <w:noProof/>
                <w:sz w:val="24"/>
                <w:szCs w:val="24"/>
              </w:rPr>
              <w:t>ș</w:t>
            </w:r>
            <w:r w:rsidRPr="00FC40E3">
              <w:rPr>
                <w:rFonts w:ascii="Times New Roman" w:hAnsi="Times New Roman" w:cs="Times New Roman"/>
                <w:bCs/>
                <w:noProof/>
                <w:sz w:val="24"/>
                <w:szCs w:val="24"/>
              </w:rPr>
              <w:t>i obliga</w:t>
            </w:r>
            <w:r w:rsidRPr="00FC40E3">
              <w:rPr>
                <w:rFonts w:ascii="Tahoma" w:hAnsi="Tahoma" w:cs="Times New Roman"/>
                <w:bCs/>
                <w:noProof/>
                <w:sz w:val="24"/>
                <w:szCs w:val="24"/>
              </w:rPr>
              <w:t>ț</w:t>
            </w:r>
            <w:r w:rsidRPr="00FC40E3">
              <w:rPr>
                <w:rFonts w:ascii="Times New Roman" w:hAnsi="Times New Roman" w:cs="Times New Roman"/>
                <w:bCs/>
                <w:noProof/>
                <w:sz w:val="24"/>
                <w:szCs w:val="24"/>
              </w:rPr>
              <w:t>iile  păr</w:t>
            </w:r>
            <w:r w:rsidRPr="00FC40E3">
              <w:rPr>
                <w:rFonts w:ascii="Tahoma" w:hAnsi="Tahoma" w:cs="Times New Roman"/>
                <w:bCs/>
                <w:noProof/>
                <w:sz w:val="24"/>
                <w:szCs w:val="24"/>
              </w:rPr>
              <w:t>ț</w:t>
            </w:r>
            <w:r w:rsidRPr="00FC40E3">
              <w:rPr>
                <w:rFonts w:ascii="Times New Roman" w:hAnsi="Times New Roman" w:cs="Times New Roman"/>
                <w:bCs/>
                <w:noProof/>
                <w:sz w:val="24"/>
                <w:szCs w:val="24"/>
              </w:rPr>
              <w:t xml:space="preserve">ilor contractante: case de asigurări de sănătate </w:t>
            </w:r>
            <w:r w:rsidRPr="00FC40E3">
              <w:rPr>
                <w:rFonts w:ascii="Tahoma" w:hAnsi="Tahoma" w:cs="Times New Roman"/>
                <w:bCs/>
                <w:noProof/>
                <w:sz w:val="24"/>
                <w:szCs w:val="24"/>
              </w:rPr>
              <w:t>ș</w:t>
            </w:r>
            <w:r w:rsidRPr="00FC40E3">
              <w:rPr>
                <w:rFonts w:ascii="Times New Roman" w:hAnsi="Times New Roman" w:cs="Times New Roman"/>
                <w:bCs/>
                <w:noProof/>
                <w:sz w:val="24"/>
                <w:szCs w:val="24"/>
              </w:rPr>
              <w:t>i  furnizori , modalită</w:t>
            </w:r>
            <w:r w:rsidRPr="00FC40E3">
              <w:rPr>
                <w:rFonts w:ascii="Tahoma" w:hAnsi="Tahoma" w:cs="Times New Roman"/>
                <w:bCs/>
                <w:noProof/>
                <w:sz w:val="24"/>
                <w:szCs w:val="24"/>
              </w:rPr>
              <w:t>ț</w:t>
            </w:r>
            <w:r w:rsidRPr="00FC40E3">
              <w:rPr>
                <w:rFonts w:ascii="Times New Roman" w:hAnsi="Times New Roman" w:cs="Times New Roman"/>
                <w:bCs/>
                <w:noProof/>
                <w:sz w:val="24"/>
                <w:szCs w:val="24"/>
              </w:rPr>
              <w:t>ile de plată, condi</w:t>
            </w:r>
            <w:r w:rsidRPr="00FC40E3">
              <w:rPr>
                <w:rFonts w:ascii="Tahoma" w:hAnsi="Tahoma" w:cs="Times New Roman"/>
                <w:bCs/>
                <w:noProof/>
                <w:sz w:val="24"/>
                <w:szCs w:val="24"/>
              </w:rPr>
              <w:t>ț</w:t>
            </w:r>
            <w:r w:rsidRPr="00FC40E3">
              <w:rPr>
                <w:rFonts w:ascii="Times New Roman" w:hAnsi="Times New Roman" w:cs="Times New Roman"/>
                <w:bCs/>
                <w:noProof/>
                <w:sz w:val="24"/>
                <w:szCs w:val="24"/>
              </w:rPr>
              <w:t>iile de eligibilitate necesar a fi îndeplinite de furnizori pentru a intra în rela</w:t>
            </w:r>
            <w:r w:rsidRPr="00FC40E3">
              <w:rPr>
                <w:rFonts w:ascii="Tahoma" w:hAnsi="Tahoma" w:cs="Times New Roman"/>
                <w:bCs/>
                <w:noProof/>
                <w:sz w:val="24"/>
                <w:szCs w:val="24"/>
              </w:rPr>
              <w:t>ț</w:t>
            </w:r>
            <w:r w:rsidRPr="00FC40E3">
              <w:rPr>
                <w:rFonts w:ascii="Times New Roman" w:hAnsi="Times New Roman" w:cs="Times New Roman"/>
                <w:bCs/>
                <w:noProof/>
                <w:sz w:val="24"/>
                <w:szCs w:val="24"/>
              </w:rPr>
              <w:t xml:space="preserve">ii contractuale cu casele de asigurări de sănătate, precum </w:t>
            </w:r>
            <w:r w:rsidR="00033ADA">
              <w:rPr>
                <w:rFonts w:ascii="Tahoma" w:hAnsi="Tahoma" w:cs="Times New Roman"/>
                <w:bCs/>
                <w:noProof/>
                <w:sz w:val="24"/>
                <w:szCs w:val="24"/>
              </w:rPr>
              <w:t>ș</w:t>
            </w:r>
            <w:r w:rsidRPr="00FC40E3">
              <w:rPr>
                <w:rFonts w:ascii="Times New Roman" w:hAnsi="Times New Roman" w:cs="Times New Roman"/>
                <w:bCs/>
                <w:noProof/>
                <w:sz w:val="24"/>
                <w:szCs w:val="24"/>
              </w:rPr>
              <w:t>i sanc</w:t>
            </w:r>
            <w:r w:rsidRPr="00FC40E3">
              <w:rPr>
                <w:rFonts w:ascii="Tahoma" w:hAnsi="Tahoma" w:cs="Times New Roman"/>
                <w:bCs/>
                <w:noProof/>
                <w:sz w:val="24"/>
                <w:szCs w:val="24"/>
              </w:rPr>
              <w:t>ț</w:t>
            </w:r>
            <w:r w:rsidRPr="00FC40E3">
              <w:rPr>
                <w:rFonts w:ascii="Times New Roman" w:hAnsi="Times New Roman" w:cs="Times New Roman"/>
                <w:bCs/>
                <w:noProof/>
                <w:sz w:val="24"/>
                <w:szCs w:val="24"/>
              </w:rPr>
              <w:t>iunile aplicabile.</w:t>
            </w:r>
          </w:p>
          <w:p w:rsidR="00C747C0" w:rsidRPr="00231455" w:rsidRDefault="00C747C0" w:rsidP="00747CD9">
            <w:pPr>
              <w:spacing w:after="0" w:line="240" w:lineRule="auto"/>
              <w:ind w:right="-23"/>
              <w:jc w:val="both"/>
              <w:rPr>
                <w:rFonts w:ascii="Times New Roman" w:eastAsia="Batang" w:hAnsi="Times New Roman" w:cs="Times New Roman"/>
                <w:sz w:val="26"/>
                <w:szCs w:val="26"/>
                <w:lang w:eastAsia="ko-KR"/>
              </w:rPr>
            </w:pPr>
          </w:p>
        </w:tc>
      </w:tr>
      <w:tr w:rsidR="00B95EB1" w:rsidRPr="00231455" w:rsidTr="00C11A4B">
        <w:tc>
          <w:tcPr>
            <w:tcW w:w="9934" w:type="dxa"/>
            <w:gridSpan w:val="9"/>
          </w:tcPr>
          <w:p w:rsidR="00B95EB1" w:rsidRPr="00231455" w:rsidRDefault="00B95EB1" w:rsidP="00747CD9">
            <w:pPr>
              <w:tabs>
                <w:tab w:val="left" w:pos="3960"/>
              </w:tabs>
              <w:spacing w:after="0" w:line="240" w:lineRule="auto"/>
              <w:jc w:val="both"/>
              <w:rPr>
                <w:rFonts w:ascii="Times New Roman" w:hAnsi="Times New Roman" w:cs="Times New Roman"/>
                <w:b/>
                <w:bCs/>
                <w:sz w:val="26"/>
                <w:szCs w:val="26"/>
              </w:rPr>
            </w:pPr>
            <w:r w:rsidRPr="00231455">
              <w:rPr>
                <w:rFonts w:ascii="Times New Roman" w:hAnsi="Times New Roman" w:cs="Times New Roman"/>
                <w:b/>
                <w:bCs/>
                <w:sz w:val="26"/>
                <w:szCs w:val="26"/>
              </w:rPr>
              <w:t>2. Schimbări preconizate</w:t>
            </w:r>
          </w:p>
          <w:p w:rsidR="00B95EB1" w:rsidRPr="00231455" w:rsidRDefault="00B95EB1" w:rsidP="00747CD9">
            <w:pPr>
              <w:tabs>
                <w:tab w:val="left" w:pos="3960"/>
              </w:tabs>
              <w:spacing w:after="0" w:line="240" w:lineRule="auto"/>
              <w:jc w:val="both"/>
              <w:rPr>
                <w:rFonts w:ascii="Times New Roman" w:hAnsi="Times New Roman" w:cs="Times New Roman"/>
                <w:sz w:val="24"/>
                <w:szCs w:val="24"/>
                <w:lang w:eastAsia="ro-RO"/>
              </w:rPr>
            </w:pPr>
          </w:p>
          <w:p w:rsidR="00B95EB1" w:rsidRPr="00231455" w:rsidRDefault="00B95EB1" w:rsidP="00747CD9">
            <w:pPr>
              <w:pStyle w:val="ListParagraph"/>
              <w:numPr>
                <w:ilvl w:val="0"/>
                <w:numId w:val="9"/>
              </w:numPr>
              <w:autoSpaceDE w:val="0"/>
              <w:autoSpaceDN w:val="0"/>
              <w:adjustRightInd w:val="0"/>
              <w:ind w:left="179" w:firstLine="270"/>
              <w:jc w:val="both"/>
              <w:rPr>
                <w:i/>
                <w:sz w:val="24"/>
                <w:szCs w:val="24"/>
                <w:lang w:val="ro-RO"/>
              </w:rPr>
            </w:pPr>
            <w:r w:rsidRPr="00231455">
              <w:rPr>
                <w:noProof/>
                <w:sz w:val="24"/>
                <w:szCs w:val="24"/>
                <w:lang w:val="ro-RO"/>
              </w:rPr>
              <w:t>La nivelul asistenței medicale primare:</w:t>
            </w:r>
          </w:p>
          <w:p w:rsidR="00B95EB1" w:rsidRPr="00482E6B" w:rsidRDefault="006702B7" w:rsidP="00747CD9">
            <w:pPr>
              <w:autoSpaceDE w:val="0"/>
              <w:autoSpaceDN w:val="0"/>
              <w:adjustRightInd w:val="0"/>
              <w:spacing w:after="0" w:line="240" w:lineRule="auto"/>
              <w:ind w:left="179"/>
              <w:jc w:val="both"/>
              <w:rPr>
                <w:rFonts w:ascii="Times New Roman" w:hAnsi="Times New Roman" w:cs="Times New Roman"/>
                <w:b/>
                <w:iCs/>
                <w:strike/>
                <w:sz w:val="24"/>
                <w:szCs w:val="24"/>
              </w:rPr>
            </w:pPr>
            <w:r w:rsidRPr="00231455">
              <w:rPr>
                <w:rFonts w:ascii="Times New Roman" w:hAnsi="Times New Roman" w:cs="Times New Roman"/>
                <w:noProof/>
                <w:sz w:val="24"/>
                <w:szCs w:val="24"/>
              </w:rPr>
              <w:t xml:space="preserve">          </w:t>
            </w:r>
            <w:r w:rsidR="00B95EB1" w:rsidRPr="00231455">
              <w:rPr>
                <w:rFonts w:ascii="Times New Roman" w:hAnsi="Times New Roman" w:cs="Times New Roman"/>
                <w:noProof/>
                <w:sz w:val="24"/>
                <w:szCs w:val="24"/>
              </w:rPr>
              <w:t xml:space="preserve">- au fost introduse reglementări privind eliberarea avizelor epidemiologice pentru re(intrarea) în colectivitate </w:t>
            </w:r>
            <w:r w:rsidR="0008310A" w:rsidRPr="00482E6B">
              <w:rPr>
                <w:rFonts w:ascii="Times New Roman" w:hAnsi="Times New Roman" w:cs="Times New Roman"/>
                <w:noProof/>
                <w:sz w:val="24"/>
                <w:szCs w:val="24"/>
              </w:rPr>
              <w:t xml:space="preserve">și a </w:t>
            </w:r>
            <w:r w:rsidR="0008310A" w:rsidRPr="00482E6B">
              <w:rPr>
                <w:rFonts w:ascii="Times New Roman" w:hAnsi="Times New Roman" w:cs="Times New Roman"/>
                <w:sz w:val="24"/>
                <w:szCs w:val="24"/>
              </w:rPr>
              <w:t xml:space="preserve">adeverinţelor medicale </w:t>
            </w:r>
            <w:r w:rsidR="0008310A" w:rsidRPr="00482E6B">
              <w:rPr>
                <w:rFonts w:ascii="Times New Roman" w:hAnsi="Times New Roman" w:cs="Times New Roman"/>
                <w:noProof/>
                <w:sz w:val="24"/>
                <w:szCs w:val="24"/>
              </w:rPr>
              <w:t>pentru preșcolari și elevi</w:t>
            </w:r>
            <w:r w:rsidR="00B95EB1" w:rsidRPr="00482E6B">
              <w:rPr>
                <w:rFonts w:ascii="Times New Roman" w:hAnsi="Times New Roman" w:cs="Times New Roman"/>
                <w:noProof/>
                <w:sz w:val="24"/>
                <w:szCs w:val="24"/>
              </w:rPr>
              <w:t xml:space="preserve">  în coroborare cu prevederile Ordinului </w:t>
            </w:r>
            <w:r w:rsidR="00B95EB1" w:rsidRPr="00482E6B">
              <w:rPr>
                <w:rFonts w:ascii="Times New Roman" w:hAnsi="Times New Roman" w:cs="Times New Roman"/>
                <w:sz w:val="24"/>
                <w:szCs w:val="24"/>
              </w:rPr>
              <w:t xml:space="preserve">5298/1668 /2011 </w:t>
            </w:r>
            <w:r w:rsidR="00B95EB1" w:rsidRPr="00482E6B">
              <w:rPr>
                <w:rFonts w:ascii="Times New Roman" w:hAnsi="Times New Roman" w:cs="Times New Roman"/>
                <w:i/>
                <w:sz w:val="24"/>
                <w:szCs w:val="24"/>
              </w:rPr>
              <w:t xml:space="preserve">pentru aprobarea Metodologiei privind examinarea stării de sănătate a preşcolarilor şi elevilor din unităţile de învăţământ de stat şi particulare autorizate/acreditate, privind acordarea asistenţei medicale gratuite şi pentru promovarea unui stil de viaţă sănătos, </w:t>
            </w:r>
            <w:r w:rsidR="00B95EB1" w:rsidRPr="00482E6B">
              <w:rPr>
                <w:rFonts w:ascii="Times New Roman" w:hAnsi="Times New Roman" w:cs="Times New Roman"/>
                <w:sz w:val="24"/>
                <w:szCs w:val="24"/>
              </w:rPr>
              <w:t xml:space="preserve">cu modificările și completările ulterioare; </w:t>
            </w:r>
          </w:p>
          <w:p w:rsidR="00937337" w:rsidRPr="00482E6B" w:rsidRDefault="00033ADA" w:rsidP="00C26EE4">
            <w:pPr>
              <w:autoSpaceDE w:val="0"/>
              <w:autoSpaceDN w:val="0"/>
              <w:adjustRightInd w:val="0"/>
              <w:spacing w:after="0" w:line="240" w:lineRule="auto"/>
              <w:jc w:val="both"/>
              <w:rPr>
                <w:rFonts w:ascii="Times New Roman" w:hAnsi="Times New Roman" w:cs="Times New Roman"/>
                <w:sz w:val="24"/>
                <w:szCs w:val="24"/>
              </w:rPr>
            </w:pPr>
            <w:r w:rsidRPr="00482E6B">
              <w:rPr>
                <w:rFonts w:ascii="Times New Roman" w:hAnsi="Times New Roman" w:cs="Times New Roman"/>
                <w:b/>
                <w:iCs/>
                <w:sz w:val="24"/>
                <w:szCs w:val="24"/>
              </w:rPr>
              <w:t xml:space="preserve">     </w:t>
            </w:r>
            <w:r w:rsidR="002825F5" w:rsidRPr="00482E6B">
              <w:rPr>
                <w:rFonts w:ascii="Times New Roman" w:hAnsi="Times New Roman" w:cs="Times New Roman"/>
                <w:b/>
                <w:iCs/>
                <w:sz w:val="24"/>
                <w:szCs w:val="24"/>
              </w:rPr>
              <w:t xml:space="preserve">      </w:t>
            </w:r>
            <w:r w:rsidRPr="00482E6B">
              <w:rPr>
                <w:rFonts w:ascii="Times New Roman" w:hAnsi="Times New Roman" w:cs="Times New Roman"/>
                <w:b/>
                <w:iCs/>
                <w:sz w:val="24"/>
                <w:szCs w:val="24"/>
              </w:rPr>
              <w:t xml:space="preserve">- </w:t>
            </w:r>
            <w:r w:rsidR="002F7EED" w:rsidRPr="00482E6B">
              <w:rPr>
                <w:rFonts w:ascii="Times New Roman" w:hAnsi="Times New Roman" w:cs="Times New Roman"/>
                <w:iCs/>
                <w:sz w:val="24"/>
                <w:szCs w:val="24"/>
              </w:rPr>
              <w:t>serviciile</w:t>
            </w:r>
            <w:r w:rsidR="004002C0" w:rsidRPr="00482E6B">
              <w:rPr>
                <w:rFonts w:ascii="Times New Roman" w:hAnsi="Times New Roman" w:cs="Times New Roman"/>
                <w:iCs/>
                <w:sz w:val="24"/>
                <w:szCs w:val="24"/>
              </w:rPr>
              <w:t xml:space="preserve"> </w:t>
            </w:r>
            <w:r w:rsidR="004002C0" w:rsidRPr="00482E6B">
              <w:rPr>
                <w:rFonts w:ascii="Times New Roman" w:hAnsi="Times New Roman" w:cs="Times New Roman"/>
                <w:sz w:val="24"/>
                <w:szCs w:val="24"/>
              </w:rPr>
              <w:t xml:space="preserve">medicale de consultaţii şi diagnostic furnizate la distanţă prin sisteme de telemedicină rurală dezvoltate de Ministerul Sănătăţii </w:t>
            </w:r>
            <w:r w:rsidR="00937337" w:rsidRPr="00482E6B">
              <w:rPr>
                <w:rFonts w:ascii="Times New Roman" w:hAnsi="Times New Roman" w:cs="Times New Roman"/>
                <w:sz w:val="24"/>
                <w:szCs w:val="24"/>
              </w:rPr>
              <w:t>nu mai fac obiectul pachetului de servicii de bază, având în vedere că Ministerul Sănătății va dezvolta și finanța această activitate.</w:t>
            </w:r>
          </w:p>
          <w:p w:rsidR="00937337" w:rsidRDefault="00937337" w:rsidP="00C26EE4">
            <w:pPr>
              <w:autoSpaceDE w:val="0"/>
              <w:autoSpaceDN w:val="0"/>
              <w:adjustRightInd w:val="0"/>
              <w:spacing w:after="0" w:line="240" w:lineRule="auto"/>
              <w:jc w:val="both"/>
              <w:rPr>
                <w:rFonts w:ascii="Times New Roman" w:hAnsi="Times New Roman" w:cs="Times New Roman"/>
                <w:sz w:val="24"/>
                <w:szCs w:val="24"/>
              </w:rPr>
            </w:pPr>
          </w:p>
          <w:p w:rsidR="00B95EB1" w:rsidRPr="00FC40E3" w:rsidRDefault="00B95EB1" w:rsidP="008E44A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FC40E3">
              <w:rPr>
                <w:rFonts w:ascii="Times New Roman" w:hAnsi="Times New Roman" w:cs="Times New Roman"/>
                <w:sz w:val="24"/>
                <w:szCs w:val="24"/>
              </w:rPr>
              <w:t>La nivelul asistenţei medicale ambulatorii de specialitate pentru specialităţile clinice</w:t>
            </w:r>
            <w:r w:rsidR="00C747C0" w:rsidRPr="00FC40E3">
              <w:rPr>
                <w:rFonts w:ascii="Times New Roman" w:hAnsi="Times New Roman" w:cs="Times New Roman"/>
                <w:sz w:val="24"/>
                <w:szCs w:val="24"/>
              </w:rPr>
              <w:t>:</w:t>
            </w:r>
          </w:p>
          <w:p w:rsidR="006702B7" w:rsidRPr="00FC40E3" w:rsidRDefault="006702B7" w:rsidP="00747CD9">
            <w:pPr>
              <w:autoSpaceDE w:val="0"/>
              <w:autoSpaceDN w:val="0"/>
              <w:adjustRightInd w:val="0"/>
              <w:spacing w:after="0" w:line="240" w:lineRule="auto"/>
              <w:ind w:left="809"/>
              <w:jc w:val="both"/>
              <w:rPr>
                <w:rFonts w:ascii="Times New Roman" w:hAnsi="Times New Roman" w:cs="Times New Roman"/>
                <w:sz w:val="24"/>
                <w:szCs w:val="24"/>
              </w:rPr>
            </w:pPr>
            <w:r w:rsidRPr="00FC40E3">
              <w:rPr>
                <w:rFonts w:ascii="Times New Roman" w:hAnsi="Times New Roman" w:cs="Times New Roman"/>
                <w:sz w:val="24"/>
                <w:szCs w:val="24"/>
              </w:rPr>
              <w:t xml:space="preserve">- </w:t>
            </w:r>
            <w:r w:rsidR="008E44A6" w:rsidRPr="00FC40E3">
              <w:rPr>
                <w:rFonts w:ascii="Times New Roman" w:hAnsi="Times New Roman" w:cs="Times New Roman"/>
                <w:sz w:val="24"/>
                <w:szCs w:val="24"/>
              </w:rPr>
              <w:t xml:space="preserve"> </w:t>
            </w:r>
            <w:r w:rsidRPr="00FC40E3">
              <w:rPr>
                <w:rFonts w:ascii="Times New Roman" w:hAnsi="Times New Roman" w:cs="Times New Roman"/>
                <w:sz w:val="24"/>
                <w:szCs w:val="24"/>
              </w:rPr>
              <w:t>în cadrul p</w:t>
            </w:r>
            <w:r w:rsidR="00B95EB1" w:rsidRPr="00FC40E3">
              <w:rPr>
                <w:rFonts w:ascii="Times New Roman" w:hAnsi="Times New Roman" w:cs="Times New Roman"/>
                <w:sz w:val="24"/>
                <w:szCs w:val="24"/>
              </w:rPr>
              <w:t>roceduri</w:t>
            </w:r>
            <w:r w:rsidRPr="00FC40E3">
              <w:rPr>
                <w:rFonts w:ascii="Times New Roman" w:hAnsi="Times New Roman" w:cs="Times New Roman"/>
                <w:sz w:val="24"/>
                <w:szCs w:val="24"/>
              </w:rPr>
              <w:t xml:space="preserve">lor </w:t>
            </w:r>
            <w:r w:rsidR="00B95EB1" w:rsidRPr="00FC40E3">
              <w:rPr>
                <w:rFonts w:ascii="Times New Roman" w:hAnsi="Times New Roman" w:cs="Times New Roman"/>
                <w:sz w:val="24"/>
                <w:szCs w:val="24"/>
              </w:rPr>
              <w:t xml:space="preserve"> diagno</w:t>
            </w:r>
            <w:r w:rsidRPr="00FC40E3">
              <w:rPr>
                <w:rFonts w:ascii="Times New Roman" w:hAnsi="Times New Roman" w:cs="Times New Roman"/>
                <w:sz w:val="24"/>
                <w:szCs w:val="24"/>
              </w:rPr>
              <w:t>stice de complexitate medie, au fost introduse</w:t>
            </w:r>
            <w:r w:rsidR="00231455" w:rsidRPr="00FC40E3">
              <w:rPr>
                <w:rFonts w:ascii="Times New Roman" w:hAnsi="Times New Roman" w:cs="Times New Roman"/>
                <w:sz w:val="24"/>
                <w:szCs w:val="24"/>
              </w:rPr>
              <w:t>:</w:t>
            </w:r>
          </w:p>
          <w:p w:rsidR="00231455" w:rsidRPr="00FC40E3" w:rsidRDefault="006702B7" w:rsidP="00231455">
            <w:pPr>
              <w:numPr>
                <w:ilvl w:val="1"/>
                <w:numId w:val="9"/>
              </w:numPr>
              <w:tabs>
                <w:tab w:val="clear" w:pos="1529"/>
                <w:tab w:val="num" w:pos="826"/>
              </w:tabs>
              <w:autoSpaceDE w:val="0"/>
              <w:autoSpaceDN w:val="0"/>
              <w:adjustRightInd w:val="0"/>
              <w:spacing w:after="0" w:line="240" w:lineRule="auto"/>
              <w:jc w:val="both"/>
              <w:rPr>
                <w:rFonts w:ascii="Times New Roman" w:hAnsi="Times New Roman" w:cs="Times New Roman"/>
                <w:sz w:val="24"/>
                <w:szCs w:val="24"/>
              </w:rPr>
            </w:pPr>
            <w:r w:rsidRPr="00FC40E3">
              <w:rPr>
                <w:rFonts w:ascii="Times New Roman" w:hAnsi="Times New Roman" w:cs="Times New Roman"/>
                <w:sz w:val="24"/>
                <w:szCs w:val="24"/>
              </w:rPr>
              <w:t xml:space="preserve"> electromiograma</w:t>
            </w:r>
          </w:p>
          <w:p w:rsidR="006702B7" w:rsidRPr="00FC40E3" w:rsidRDefault="00231455" w:rsidP="00231455">
            <w:pPr>
              <w:numPr>
                <w:ilvl w:val="1"/>
                <w:numId w:val="9"/>
              </w:numPr>
              <w:tabs>
                <w:tab w:val="clear" w:pos="1529"/>
                <w:tab w:val="num" w:pos="826"/>
              </w:tabs>
              <w:autoSpaceDE w:val="0"/>
              <w:autoSpaceDN w:val="0"/>
              <w:adjustRightInd w:val="0"/>
              <w:spacing w:after="0" w:line="240" w:lineRule="auto"/>
              <w:jc w:val="both"/>
              <w:rPr>
                <w:rFonts w:ascii="Times New Roman" w:hAnsi="Times New Roman" w:cs="Times New Roman"/>
                <w:sz w:val="24"/>
                <w:szCs w:val="24"/>
              </w:rPr>
            </w:pPr>
            <w:r w:rsidRPr="00FC40E3">
              <w:rPr>
                <w:rFonts w:ascii="Times New Roman" w:hAnsi="Times New Roman" w:cs="Times New Roman"/>
                <w:sz w:val="24"/>
                <w:szCs w:val="24"/>
              </w:rPr>
              <w:t>e</w:t>
            </w:r>
            <w:r w:rsidR="006702B7" w:rsidRPr="00FC40E3">
              <w:rPr>
                <w:rFonts w:ascii="Times New Roman" w:hAnsi="Times New Roman" w:cs="Times New Roman"/>
                <w:sz w:val="24"/>
                <w:szCs w:val="24"/>
              </w:rPr>
              <w:t>valuarea cantitativă a răspunsului galvanic al pielii</w:t>
            </w:r>
          </w:p>
          <w:p w:rsidR="009067D7" w:rsidRDefault="006702B7" w:rsidP="009067D7">
            <w:pPr>
              <w:numPr>
                <w:ilvl w:val="0"/>
                <w:numId w:val="11"/>
              </w:numPr>
              <w:tabs>
                <w:tab w:val="left" w:pos="1006"/>
              </w:tabs>
              <w:autoSpaceDE w:val="0"/>
              <w:autoSpaceDN w:val="0"/>
              <w:adjustRightInd w:val="0"/>
              <w:spacing w:after="0" w:line="240" w:lineRule="auto"/>
              <w:ind w:left="196" w:firstLine="720"/>
              <w:jc w:val="both"/>
              <w:rPr>
                <w:rFonts w:ascii="Times New Roman" w:hAnsi="Times New Roman" w:cs="Times New Roman"/>
                <w:sz w:val="24"/>
                <w:szCs w:val="24"/>
              </w:rPr>
            </w:pPr>
            <w:r w:rsidRPr="00FC40E3">
              <w:rPr>
                <w:rFonts w:ascii="Times New Roman" w:hAnsi="Times New Roman" w:cs="Times New Roman"/>
                <w:sz w:val="24"/>
                <w:szCs w:val="24"/>
              </w:rPr>
              <w:t xml:space="preserve"> </w:t>
            </w:r>
            <w:r w:rsidR="00231455" w:rsidRPr="00FC40E3">
              <w:rPr>
                <w:rFonts w:ascii="Times New Roman" w:hAnsi="Times New Roman" w:cs="Times New Roman"/>
                <w:sz w:val="24"/>
                <w:szCs w:val="24"/>
              </w:rPr>
              <w:t xml:space="preserve"> </w:t>
            </w:r>
            <w:r w:rsidR="008E44A6" w:rsidRPr="00FC40E3">
              <w:rPr>
                <w:rFonts w:ascii="Times New Roman" w:hAnsi="Times New Roman" w:cs="Times New Roman"/>
                <w:sz w:val="24"/>
                <w:szCs w:val="24"/>
              </w:rPr>
              <w:t xml:space="preserve">în cadrul </w:t>
            </w:r>
            <w:r w:rsidRPr="00FC40E3">
              <w:rPr>
                <w:rFonts w:ascii="Times New Roman" w:hAnsi="Times New Roman" w:cs="Times New Roman"/>
                <w:sz w:val="24"/>
                <w:szCs w:val="24"/>
              </w:rPr>
              <w:t>proceduri</w:t>
            </w:r>
            <w:r w:rsidR="008E44A6" w:rsidRPr="00FC40E3">
              <w:rPr>
                <w:rFonts w:ascii="Times New Roman" w:hAnsi="Times New Roman" w:cs="Times New Roman"/>
                <w:sz w:val="24"/>
                <w:szCs w:val="24"/>
              </w:rPr>
              <w:t>lor</w:t>
            </w:r>
            <w:r w:rsidRPr="00FC40E3">
              <w:rPr>
                <w:rFonts w:ascii="Times New Roman" w:hAnsi="Times New Roman" w:cs="Times New Roman"/>
                <w:sz w:val="24"/>
                <w:szCs w:val="24"/>
              </w:rPr>
              <w:t xml:space="preserve"> terapeutice/tratamente medicale complexe</w:t>
            </w:r>
            <w:r w:rsidR="008E44A6" w:rsidRPr="00FC40E3">
              <w:rPr>
                <w:rFonts w:ascii="Times New Roman" w:hAnsi="Times New Roman" w:cs="Times New Roman"/>
                <w:sz w:val="24"/>
                <w:szCs w:val="24"/>
              </w:rPr>
              <w:t xml:space="preserve"> a fost inclus t</w:t>
            </w:r>
            <w:r w:rsidRPr="00FC40E3">
              <w:rPr>
                <w:rFonts w:ascii="Times New Roman" w:hAnsi="Times New Roman" w:cs="Times New Roman"/>
                <w:sz w:val="24"/>
                <w:szCs w:val="24"/>
              </w:rPr>
              <w:t>ratamentul fracturii amielice fără deplasare a coloanei vertebrale</w:t>
            </w:r>
          </w:p>
          <w:p w:rsidR="009067D7" w:rsidRPr="009067D7" w:rsidRDefault="009067D7" w:rsidP="00C4791A">
            <w:pPr>
              <w:tabs>
                <w:tab w:val="left" w:pos="1006"/>
              </w:tabs>
              <w:autoSpaceDE w:val="0"/>
              <w:autoSpaceDN w:val="0"/>
              <w:adjustRightInd w:val="0"/>
              <w:spacing w:after="0" w:line="240" w:lineRule="auto"/>
              <w:jc w:val="both"/>
              <w:rPr>
                <w:rFonts w:ascii="Times New Roman" w:hAnsi="Times New Roman" w:cs="Times New Roman"/>
                <w:sz w:val="24"/>
                <w:szCs w:val="24"/>
              </w:rPr>
            </w:pPr>
          </w:p>
          <w:p w:rsidR="006702B7" w:rsidRPr="00FC40E3" w:rsidRDefault="008E44A6" w:rsidP="008E44A6">
            <w:pPr>
              <w:pStyle w:val="ListParagraph"/>
              <w:numPr>
                <w:ilvl w:val="0"/>
                <w:numId w:val="9"/>
              </w:numPr>
              <w:rPr>
                <w:sz w:val="24"/>
                <w:szCs w:val="24"/>
                <w:lang w:val="ro-RO"/>
              </w:rPr>
            </w:pPr>
            <w:r w:rsidRPr="00FC40E3">
              <w:rPr>
                <w:sz w:val="24"/>
                <w:szCs w:val="24"/>
                <w:lang w:val="ro-RO"/>
              </w:rPr>
              <w:t>La nivelul asistenţei medicale de  medicină dentară</w:t>
            </w:r>
            <w:r w:rsidR="00C747C0" w:rsidRPr="00FC40E3">
              <w:rPr>
                <w:sz w:val="24"/>
                <w:szCs w:val="24"/>
                <w:lang w:val="ro-RO"/>
              </w:rPr>
              <w:t>:</w:t>
            </w:r>
          </w:p>
          <w:p w:rsidR="008E44A6" w:rsidRPr="00FC40E3" w:rsidRDefault="008E44A6" w:rsidP="002825F5">
            <w:pPr>
              <w:numPr>
                <w:ilvl w:val="0"/>
                <w:numId w:val="11"/>
              </w:numPr>
              <w:autoSpaceDE w:val="0"/>
              <w:autoSpaceDN w:val="0"/>
              <w:adjustRightInd w:val="0"/>
              <w:spacing w:after="0" w:line="240" w:lineRule="auto"/>
              <w:ind w:left="1186" w:hanging="226"/>
              <w:jc w:val="both"/>
              <w:rPr>
                <w:rFonts w:ascii="Times New Roman" w:eastAsia="Times New Roman" w:hAnsi="Times New Roman" w:cs="Times New Roman"/>
                <w:noProof/>
                <w:sz w:val="24"/>
                <w:szCs w:val="24"/>
              </w:rPr>
            </w:pPr>
            <w:r w:rsidRPr="00FC40E3">
              <w:rPr>
                <w:rFonts w:ascii="Times New Roman" w:hAnsi="Times New Roman" w:cs="Times New Roman"/>
                <w:iCs/>
                <w:sz w:val="24"/>
                <w:szCs w:val="24"/>
              </w:rPr>
              <w:t>pentru copii cu vârsta de până la 18 ani se acordă o consultație la 6 luni (în prezent - o  consultație la un interval de 12 luni)</w:t>
            </w:r>
          </w:p>
          <w:p w:rsidR="006702B7" w:rsidRPr="00FC40E3" w:rsidRDefault="008E44A6" w:rsidP="002825F5">
            <w:pPr>
              <w:pStyle w:val="ListParagraph"/>
              <w:numPr>
                <w:ilvl w:val="0"/>
                <w:numId w:val="11"/>
              </w:numPr>
              <w:tabs>
                <w:tab w:val="left" w:pos="1186"/>
              </w:tabs>
              <w:ind w:left="1186" w:hanging="226"/>
              <w:jc w:val="both"/>
              <w:rPr>
                <w:noProof/>
                <w:sz w:val="24"/>
                <w:szCs w:val="24"/>
                <w:lang w:val="ro-RO"/>
              </w:rPr>
            </w:pPr>
            <w:r w:rsidRPr="00FC40E3">
              <w:rPr>
                <w:iCs/>
                <w:sz w:val="24"/>
                <w:szCs w:val="24"/>
                <w:lang w:val="ro-RO"/>
              </w:rPr>
              <w:t xml:space="preserve">s-a introdus serviciul </w:t>
            </w:r>
            <w:r w:rsidRPr="00FC40E3">
              <w:rPr>
                <w:i/>
                <w:iCs/>
                <w:sz w:val="24"/>
                <w:szCs w:val="24"/>
                <w:lang w:val="ro-RO"/>
              </w:rPr>
              <w:t>obturaţia dintelui după tratamentul afecţiunilor pulpare sau al gangrenei</w:t>
            </w:r>
          </w:p>
          <w:p w:rsidR="0060485D" w:rsidRPr="00FC40E3" w:rsidRDefault="0060485D" w:rsidP="00231455">
            <w:pPr>
              <w:pStyle w:val="ListParagraph"/>
              <w:numPr>
                <w:ilvl w:val="0"/>
                <w:numId w:val="11"/>
              </w:numPr>
              <w:tabs>
                <w:tab w:val="left" w:pos="1186"/>
              </w:tabs>
              <w:ind w:left="196" w:firstLine="764"/>
              <w:rPr>
                <w:noProof/>
                <w:sz w:val="24"/>
                <w:szCs w:val="24"/>
                <w:lang w:val="ro-RO"/>
              </w:rPr>
            </w:pPr>
            <w:r w:rsidRPr="00FC40E3">
              <w:rPr>
                <w:iCs/>
                <w:sz w:val="24"/>
                <w:szCs w:val="24"/>
                <w:lang w:val="ro-RO"/>
              </w:rPr>
              <w:t>unele servicii au fost redefinite</w:t>
            </w:r>
          </w:p>
          <w:p w:rsidR="008E44A6" w:rsidRPr="00FC40E3" w:rsidRDefault="008E44A6" w:rsidP="008E44A6">
            <w:pPr>
              <w:pStyle w:val="ListParagraph"/>
              <w:rPr>
                <w:noProof/>
                <w:sz w:val="24"/>
                <w:szCs w:val="24"/>
                <w:lang w:val="ro-RO"/>
              </w:rPr>
            </w:pPr>
          </w:p>
          <w:p w:rsidR="008E44A6" w:rsidRPr="00FC40E3" w:rsidRDefault="008E44A6" w:rsidP="008E44A6">
            <w:pPr>
              <w:pStyle w:val="ListParagraph"/>
              <w:numPr>
                <w:ilvl w:val="0"/>
                <w:numId w:val="9"/>
              </w:numPr>
              <w:rPr>
                <w:sz w:val="24"/>
                <w:szCs w:val="24"/>
                <w:lang w:val="ro-RO"/>
              </w:rPr>
            </w:pPr>
            <w:r w:rsidRPr="00FC40E3">
              <w:rPr>
                <w:sz w:val="24"/>
                <w:szCs w:val="24"/>
                <w:lang w:val="ro-RO"/>
              </w:rPr>
              <w:t>La nivelul asistenţei medicale ambulatorii de specialitate pentru specialităţile paraclinice</w:t>
            </w:r>
            <w:r w:rsidR="00C747C0" w:rsidRPr="00FC40E3">
              <w:rPr>
                <w:sz w:val="24"/>
                <w:szCs w:val="24"/>
                <w:lang w:val="ro-RO"/>
              </w:rPr>
              <w:t>:</w:t>
            </w:r>
          </w:p>
          <w:p w:rsidR="008E44A6" w:rsidRPr="00FC40E3" w:rsidRDefault="008E44A6" w:rsidP="008E44A6">
            <w:pPr>
              <w:pStyle w:val="ListParagraph"/>
              <w:numPr>
                <w:ilvl w:val="0"/>
                <w:numId w:val="11"/>
              </w:numPr>
              <w:rPr>
                <w:noProof/>
                <w:sz w:val="24"/>
                <w:szCs w:val="24"/>
                <w:lang w:val="ro-RO"/>
              </w:rPr>
            </w:pPr>
            <w:r w:rsidRPr="00FC40E3">
              <w:rPr>
                <w:noProof/>
                <w:sz w:val="24"/>
                <w:szCs w:val="24"/>
                <w:lang w:val="ro-RO"/>
              </w:rPr>
              <w:t>s-a introdus RMN sâni nativ și RMN sâni nativ și cu substanță de contrast</w:t>
            </w:r>
          </w:p>
          <w:p w:rsidR="006702B7" w:rsidRDefault="007C61CF" w:rsidP="002825F5">
            <w:pPr>
              <w:autoSpaceDE w:val="0"/>
              <w:autoSpaceDN w:val="0"/>
              <w:adjustRightInd w:val="0"/>
              <w:spacing w:after="0" w:line="240" w:lineRule="auto"/>
              <w:ind w:left="196" w:firstLine="351"/>
              <w:jc w:val="both"/>
              <w:rPr>
                <w:rFonts w:ascii="Times New Roman" w:hAnsi="Times New Roman" w:cs="Times New Roman"/>
                <w:sz w:val="24"/>
                <w:szCs w:val="24"/>
              </w:rPr>
            </w:pPr>
            <w:r w:rsidRPr="00FC40E3">
              <w:rPr>
                <w:rFonts w:ascii="Times New Roman" w:eastAsia="Times New Roman" w:hAnsi="Times New Roman" w:cs="Times New Roman"/>
                <w:noProof/>
                <w:sz w:val="24"/>
                <w:szCs w:val="24"/>
              </w:rPr>
              <w:t xml:space="preserve">       -  </w:t>
            </w:r>
            <w:r w:rsidRPr="00A35EB1">
              <w:rPr>
                <w:rFonts w:ascii="Times New Roman" w:eastAsia="Times New Roman" w:hAnsi="Times New Roman" w:cs="Times New Roman"/>
                <w:noProof/>
                <w:sz w:val="24"/>
                <w:szCs w:val="24"/>
              </w:rPr>
              <w:t xml:space="preserve">au fost revizuite </w:t>
            </w:r>
            <w:r w:rsidRPr="00A35EB1">
              <w:rPr>
                <w:rFonts w:ascii="Times New Roman" w:hAnsi="Times New Roman" w:cs="Times New Roman"/>
                <w:sz w:val="24"/>
                <w:szCs w:val="24"/>
              </w:rPr>
              <w:t xml:space="preserve">reglementările referitoare la situațiile în care casa de asigurări de </w:t>
            </w:r>
            <w:r w:rsidRPr="009A5AB3">
              <w:rPr>
                <w:rFonts w:ascii="Times New Roman" w:hAnsi="Times New Roman" w:cs="Times New Roman"/>
                <w:sz w:val="24"/>
                <w:szCs w:val="24"/>
              </w:rPr>
              <w:t>sănătate sesizează neconcordanţe între investigaţiile medicale efectuate şi cantitatea de reactivi achiziţionaţi conform facturilor şi utilizaţi în efectuarea investigaţiilor</w:t>
            </w:r>
            <w:r w:rsidR="00B77699" w:rsidRPr="009A5AB3">
              <w:rPr>
                <w:rFonts w:ascii="Times New Roman" w:hAnsi="Times New Roman" w:cs="Times New Roman"/>
                <w:sz w:val="24"/>
                <w:szCs w:val="24"/>
              </w:rPr>
              <w:t>; î</w:t>
            </w:r>
            <w:r w:rsidRPr="009A5AB3">
              <w:rPr>
                <w:rFonts w:ascii="Times New Roman" w:hAnsi="Times New Roman" w:cs="Times New Roman"/>
                <w:sz w:val="24"/>
                <w:szCs w:val="24"/>
              </w:rPr>
              <w:t>n aceste situații  casa de asigurări de sănătate sesizează mai departe instituţiile abilitate de lege să efectuez</w:t>
            </w:r>
            <w:r w:rsidR="00B77699" w:rsidRPr="009A5AB3">
              <w:rPr>
                <w:rFonts w:ascii="Times New Roman" w:hAnsi="Times New Roman" w:cs="Times New Roman"/>
                <w:sz w:val="24"/>
                <w:szCs w:val="24"/>
              </w:rPr>
              <w:t xml:space="preserve">e controlul unităţii respective. </w:t>
            </w:r>
            <w:r w:rsidR="009A5AB3" w:rsidRPr="002825F5">
              <w:rPr>
                <w:rFonts w:ascii="Times New Roman" w:hAnsi="Times New Roman" w:cs="Times New Roman"/>
                <w:sz w:val="24"/>
                <w:szCs w:val="24"/>
              </w:rPr>
              <w:t>În situația în care, urmare a controlului desfășurat de către instituțiile abilitate, se stabileşte vinovăţia furnizorului, potrivit legii, contractul în derulare se reziliază de plin drept de la data luării la cunoștință a notificarii privind rezilierea contractului, emisă in baza deciziei executorii dispusă în cauza respectivă, cu recuperarea contravalorii tuturor serviciilor medicale paraclinice efectuate de furnizor în perioada verificată de instituţiile abilitate şi decontată de către de casa de asigurări de sănătate.</w:t>
            </w:r>
          </w:p>
          <w:p w:rsidR="002825F5" w:rsidRPr="002825F5" w:rsidRDefault="002825F5" w:rsidP="002825F5">
            <w:pPr>
              <w:autoSpaceDE w:val="0"/>
              <w:autoSpaceDN w:val="0"/>
              <w:adjustRightInd w:val="0"/>
              <w:spacing w:after="0" w:line="240" w:lineRule="auto"/>
              <w:ind w:left="196" w:firstLine="351"/>
              <w:jc w:val="both"/>
              <w:rPr>
                <w:rFonts w:ascii="Times New Roman" w:eastAsia="Times New Roman" w:hAnsi="Times New Roman" w:cs="Times New Roman"/>
                <w:noProof/>
                <w:sz w:val="24"/>
                <w:szCs w:val="24"/>
              </w:rPr>
            </w:pPr>
          </w:p>
          <w:p w:rsidR="00B95EB1" w:rsidRPr="00231455" w:rsidRDefault="00B95EB1" w:rsidP="009A5AB3">
            <w:pPr>
              <w:pStyle w:val="ListParagraph"/>
              <w:numPr>
                <w:ilvl w:val="0"/>
                <w:numId w:val="9"/>
              </w:numPr>
              <w:autoSpaceDE w:val="0"/>
              <w:autoSpaceDN w:val="0"/>
              <w:adjustRightInd w:val="0"/>
              <w:ind w:left="196" w:firstLine="253"/>
              <w:jc w:val="both"/>
              <w:rPr>
                <w:i/>
                <w:sz w:val="24"/>
                <w:szCs w:val="24"/>
                <w:lang w:val="ro-RO"/>
              </w:rPr>
            </w:pPr>
            <w:r w:rsidRPr="00231455">
              <w:rPr>
                <w:noProof/>
                <w:sz w:val="24"/>
                <w:szCs w:val="24"/>
                <w:lang w:val="ro-RO"/>
              </w:rPr>
              <w:t xml:space="preserve">Au fost modificate reglementările privind specialitatea reabilitare medicală în concordanță cu prevederile Ordinului ministrului sănătății nr. </w:t>
            </w:r>
            <w:r w:rsidRPr="00231455">
              <w:rPr>
                <w:sz w:val="24"/>
                <w:szCs w:val="24"/>
                <w:lang w:val="ro-RO"/>
              </w:rPr>
              <w:t xml:space="preserve">996 /2015 </w:t>
            </w:r>
            <w:r w:rsidRPr="00231455">
              <w:rPr>
                <w:i/>
                <w:sz w:val="24"/>
                <w:szCs w:val="24"/>
                <w:lang w:val="ro-RO"/>
              </w:rPr>
              <w:t>pentru modificarea anexei la Ordinul ministrului sănătăţii publice nr. 1.509/2008 privind aprobarea Nomenclatorului de specialităţi medicale, medico-dentare şi farmaceutice pentru reţeaua de asistenţă medicală.</w:t>
            </w:r>
          </w:p>
          <w:p w:rsidR="00B95EB1" w:rsidRPr="00231455" w:rsidRDefault="00B95EB1" w:rsidP="00747CD9">
            <w:pPr>
              <w:tabs>
                <w:tab w:val="left" w:pos="3960"/>
              </w:tabs>
              <w:spacing w:after="0" w:line="240" w:lineRule="auto"/>
              <w:jc w:val="both"/>
              <w:rPr>
                <w:rFonts w:ascii="Times New Roman" w:hAnsi="Times New Roman" w:cs="Times New Roman"/>
                <w:sz w:val="24"/>
                <w:szCs w:val="24"/>
                <w:lang w:eastAsia="ro-RO"/>
              </w:rPr>
            </w:pPr>
          </w:p>
          <w:p w:rsidR="008E44A6" w:rsidRPr="00231455" w:rsidRDefault="008E44A6" w:rsidP="008E44A6">
            <w:pPr>
              <w:pStyle w:val="ListParagraph"/>
              <w:numPr>
                <w:ilvl w:val="0"/>
                <w:numId w:val="9"/>
              </w:numPr>
              <w:ind w:left="89" w:firstLine="360"/>
              <w:jc w:val="both"/>
              <w:rPr>
                <w:noProof/>
                <w:sz w:val="24"/>
                <w:szCs w:val="24"/>
                <w:lang w:val="ro-RO"/>
              </w:rPr>
            </w:pPr>
            <w:r w:rsidRPr="00231455">
              <w:rPr>
                <w:sz w:val="24"/>
                <w:szCs w:val="24"/>
                <w:lang w:val="ro-RO"/>
              </w:rPr>
              <w:t>La nivelul asistenţei medicale spitalicești:</w:t>
            </w:r>
          </w:p>
          <w:p w:rsidR="00F170B4" w:rsidRPr="00FC40E3" w:rsidRDefault="008E44A6" w:rsidP="00F170B4">
            <w:pPr>
              <w:pStyle w:val="ListParagraph"/>
              <w:numPr>
                <w:ilvl w:val="0"/>
                <w:numId w:val="11"/>
              </w:numPr>
              <w:ind w:left="106" w:firstLine="854"/>
              <w:jc w:val="both"/>
              <w:rPr>
                <w:noProof/>
                <w:sz w:val="24"/>
                <w:szCs w:val="24"/>
                <w:lang w:val="ro-RO"/>
              </w:rPr>
            </w:pPr>
            <w:r w:rsidRPr="00FC40E3">
              <w:rPr>
                <w:noProof/>
                <w:sz w:val="24"/>
                <w:szCs w:val="24"/>
                <w:lang w:val="ro-RO"/>
              </w:rPr>
              <w:t>atât pentru internare continuă cât și pent</w:t>
            </w:r>
            <w:r w:rsidR="00B531D8" w:rsidRPr="00FC40E3">
              <w:rPr>
                <w:noProof/>
                <w:sz w:val="24"/>
                <w:szCs w:val="24"/>
                <w:lang w:val="ro-RO"/>
              </w:rPr>
              <w:t>ru spitalizarea de zi s-a prevăz</w:t>
            </w:r>
            <w:r w:rsidRPr="00FC40E3">
              <w:rPr>
                <w:noProof/>
                <w:sz w:val="24"/>
                <w:szCs w:val="24"/>
                <w:lang w:val="ro-RO"/>
              </w:rPr>
              <w:t>ut că nu este necesară prezentar</w:t>
            </w:r>
            <w:r w:rsidR="00B531D8" w:rsidRPr="00FC40E3">
              <w:rPr>
                <w:noProof/>
                <w:sz w:val="24"/>
                <w:szCs w:val="24"/>
                <w:lang w:val="ro-RO"/>
              </w:rPr>
              <w:t>ea biletului de internare în caz</w:t>
            </w:r>
            <w:r w:rsidRPr="00FC40E3">
              <w:rPr>
                <w:noProof/>
                <w:sz w:val="24"/>
                <w:szCs w:val="24"/>
                <w:lang w:val="ro-RO"/>
              </w:rPr>
              <w:t xml:space="preserve">ul pacienților </w:t>
            </w:r>
            <w:r w:rsidRPr="00FC40E3">
              <w:rPr>
                <w:iCs/>
                <w:sz w:val="24"/>
                <w:szCs w:val="24"/>
                <w:lang w:val="ro-RO"/>
              </w:rPr>
              <w:t xml:space="preserve"> care au scrisoare medicală la externare cu indicație de revenire pentru  internare, precum și pentru pacienții cu hemofilie aflați în programul național de hemofilie</w:t>
            </w:r>
          </w:p>
          <w:p w:rsidR="00F170B4" w:rsidRPr="00FC40E3" w:rsidRDefault="00F170B4" w:rsidP="00F170B4">
            <w:pPr>
              <w:pStyle w:val="ListParagraph"/>
              <w:numPr>
                <w:ilvl w:val="0"/>
                <w:numId w:val="11"/>
              </w:numPr>
              <w:ind w:left="106" w:firstLine="854"/>
              <w:jc w:val="both"/>
              <w:rPr>
                <w:noProof/>
                <w:sz w:val="24"/>
                <w:szCs w:val="24"/>
                <w:lang w:val="ro-RO"/>
              </w:rPr>
            </w:pPr>
            <w:r w:rsidRPr="00FC40E3">
              <w:rPr>
                <w:noProof/>
                <w:sz w:val="24"/>
                <w:szCs w:val="24"/>
                <w:lang w:val="ro-RO"/>
              </w:rPr>
              <w:t>f</w:t>
            </w:r>
            <w:r w:rsidR="00B95EB1" w:rsidRPr="00FC40E3">
              <w:rPr>
                <w:noProof/>
                <w:sz w:val="24"/>
                <w:szCs w:val="24"/>
                <w:lang w:val="ro-RO"/>
              </w:rPr>
              <w:t>urnizorii</w:t>
            </w:r>
            <w:r w:rsidR="00B95EB1" w:rsidRPr="00FC40E3">
              <w:rPr>
                <w:sz w:val="24"/>
                <w:szCs w:val="24"/>
                <w:lang w:val="ro-RO"/>
              </w:rPr>
              <w:t xml:space="preserve"> autorizați de Ministerul Sănătăţii să acorde servicii medicale spitalicești în regim de spitalizare de zi (care nu încheie contract de furnizare de servicii medicale spitaliceşti în spitalizare continua), inclusiv centrele de sănătate multifuncţionale cu personalitate juridică, nu pot intra în relație contractuală cu casele de asigurări de sănătate dacă nu asigură </w:t>
            </w:r>
            <w:r w:rsidRPr="00FC40E3">
              <w:rPr>
                <w:sz w:val="24"/>
                <w:szCs w:val="24"/>
                <w:lang w:val="ro-RO"/>
              </w:rPr>
              <w:t xml:space="preserve">asigură </w:t>
            </w:r>
            <w:r w:rsidRPr="00482E6B">
              <w:rPr>
                <w:sz w:val="24"/>
                <w:szCs w:val="24"/>
                <w:lang w:val="ro-RO"/>
              </w:rPr>
              <w:t xml:space="preserve">prezența </w:t>
            </w:r>
            <w:r w:rsidR="00A35EB1" w:rsidRPr="00482E6B">
              <w:rPr>
                <w:sz w:val="24"/>
                <w:szCs w:val="24"/>
                <w:lang w:val="ro-RO"/>
              </w:rPr>
              <w:t xml:space="preserve">a cel puțin un medic </w:t>
            </w:r>
            <w:r w:rsidRPr="00482E6B">
              <w:rPr>
                <w:sz w:val="24"/>
                <w:szCs w:val="24"/>
                <w:lang w:val="ro-RO"/>
              </w:rPr>
              <w:t>pentru un program de activitate de minim 7 ore/zi în specialități medicale și</w:t>
            </w:r>
            <w:r w:rsidR="00C4791A" w:rsidRPr="00482E6B">
              <w:rPr>
                <w:sz w:val="24"/>
                <w:szCs w:val="24"/>
                <w:lang w:val="ro-RO"/>
              </w:rPr>
              <w:t>/</w:t>
            </w:r>
            <w:r w:rsidRPr="00482E6B">
              <w:rPr>
                <w:sz w:val="24"/>
                <w:szCs w:val="24"/>
                <w:lang w:val="ro-RO"/>
              </w:rPr>
              <w:t>sau de</w:t>
            </w:r>
            <w:r w:rsidRPr="00FC40E3">
              <w:rPr>
                <w:sz w:val="24"/>
                <w:szCs w:val="24"/>
                <w:lang w:val="ro-RO"/>
              </w:rPr>
              <w:t xml:space="preserve"> minim 7 ore /zi în specialități chirurgicale, după caz.</w:t>
            </w:r>
          </w:p>
          <w:p w:rsidR="00F170B4" w:rsidRPr="00FC40E3" w:rsidRDefault="00231455" w:rsidP="00F170B4">
            <w:pPr>
              <w:pStyle w:val="ListParagraph"/>
              <w:numPr>
                <w:ilvl w:val="0"/>
                <w:numId w:val="11"/>
              </w:numPr>
              <w:ind w:left="0" w:firstLine="854"/>
              <w:jc w:val="both"/>
              <w:rPr>
                <w:noProof/>
                <w:sz w:val="24"/>
                <w:szCs w:val="24"/>
                <w:lang w:val="ro-RO"/>
              </w:rPr>
            </w:pPr>
            <w:r w:rsidRPr="00FC40E3">
              <w:rPr>
                <w:noProof/>
                <w:sz w:val="24"/>
                <w:szCs w:val="24"/>
                <w:lang w:val="ro-RO"/>
              </w:rPr>
              <w:t>l</w:t>
            </w:r>
            <w:r w:rsidR="00F170B4" w:rsidRPr="00FC40E3">
              <w:rPr>
                <w:noProof/>
                <w:sz w:val="24"/>
                <w:szCs w:val="24"/>
                <w:lang w:val="ro-RO"/>
              </w:rPr>
              <w:t xml:space="preserve">a </w:t>
            </w:r>
            <w:r w:rsidR="00F170B4" w:rsidRPr="00FC40E3">
              <w:rPr>
                <w:sz w:val="24"/>
                <w:szCs w:val="24"/>
                <w:lang w:val="ro-RO"/>
              </w:rPr>
              <w:t xml:space="preserve"> contractarea serviciilor medicale spitaliceşti, casele de asigurări de sănătate vor avea în vedere  </w:t>
            </w:r>
            <w:r w:rsidR="00F170B4" w:rsidRPr="00FC40E3">
              <w:rPr>
                <w:b/>
                <w:sz w:val="24"/>
                <w:szCs w:val="24"/>
                <w:lang w:val="ro-RO"/>
              </w:rPr>
              <w:t>94%</w:t>
            </w:r>
            <w:r w:rsidR="00F170B4" w:rsidRPr="00FC40E3">
              <w:rPr>
                <w:sz w:val="24"/>
                <w:szCs w:val="24"/>
                <w:lang w:val="ro-RO"/>
              </w:rPr>
              <w:t xml:space="preserve"> (</w:t>
            </w:r>
            <w:r w:rsidR="00F170B4" w:rsidRPr="00FC40E3">
              <w:rPr>
                <w:i/>
                <w:sz w:val="24"/>
                <w:szCs w:val="24"/>
                <w:lang w:val="ro-RO"/>
              </w:rPr>
              <w:t>în prezent 90%</w:t>
            </w:r>
            <w:r w:rsidR="00F170B4" w:rsidRPr="00FC40E3">
              <w:rPr>
                <w:sz w:val="24"/>
                <w:szCs w:val="24"/>
                <w:lang w:val="ro-RO"/>
              </w:rPr>
              <w:t>) din fondurile aprobate cu această destinaţie la nivelul casei de asigurări de sănătate, diferența de 6% fiind utilizată  pentru:</w:t>
            </w:r>
          </w:p>
          <w:p w:rsidR="00F170B4" w:rsidRPr="00231455" w:rsidRDefault="00F170B4" w:rsidP="00F170B4">
            <w:pPr>
              <w:pStyle w:val="ListParagraph"/>
              <w:numPr>
                <w:ilvl w:val="1"/>
                <w:numId w:val="9"/>
              </w:numPr>
              <w:jc w:val="both"/>
              <w:rPr>
                <w:noProof/>
                <w:sz w:val="24"/>
                <w:szCs w:val="24"/>
                <w:lang w:val="ro-RO"/>
              </w:rPr>
            </w:pPr>
            <w:r w:rsidRPr="00FC40E3">
              <w:rPr>
                <w:b/>
                <w:iCs/>
                <w:sz w:val="24"/>
                <w:szCs w:val="24"/>
                <w:lang w:val="ro-RO"/>
              </w:rPr>
              <w:t>5%</w:t>
            </w:r>
            <w:r w:rsidRPr="00FC40E3">
              <w:rPr>
                <w:iCs/>
                <w:sz w:val="24"/>
                <w:szCs w:val="24"/>
                <w:lang w:val="ro-RO"/>
              </w:rPr>
              <w:t xml:space="preserve"> </w:t>
            </w:r>
            <w:r w:rsidRPr="00FC40E3">
              <w:rPr>
                <w:sz w:val="24"/>
                <w:szCs w:val="24"/>
                <w:lang w:val="ro-RO"/>
              </w:rPr>
              <w:t>(</w:t>
            </w:r>
            <w:r w:rsidRPr="00FC40E3">
              <w:rPr>
                <w:i/>
                <w:sz w:val="24"/>
                <w:szCs w:val="24"/>
                <w:lang w:val="ro-RO"/>
              </w:rPr>
              <w:t>în prezent 9%</w:t>
            </w:r>
            <w:r w:rsidRPr="00FC40E3">
              <w:rPr>
                <w:sz w:val="24"/>
                <w:szCs w:val="24"/>
                <w:lang w:val="ro-RO"/>
              </w:rPr>
              <w:t xml:space="preserve">) </w:t>
            </w:r>
            <w:r w:rsidRPr="00FC40E3">
              <w:rPr>
                <w:iCs/>
                <w:sz w:val="24"/>
                <w:szCs w:val="24"/>
                <w:lang w:val="ro-RO"/>
              </w:rPr>
              <w:t xml:space="preserve">pentru decontarea cazurilor externate </w:t>
            </w:r>
            <w:r w:rsidRPr="00FC40E3">
              <w:rPr>
                <w:sz w:val="24"/>
                <w:szCs w:val="24"/>
                <w:lang w:val="ro-RO"/>
              </w:rPr>
              <w:t xml:space="preserve"> din unităţile sanitare cu personalitate juridică de medicina</w:t>
            </w:r>
            <w:r w:rsidRPr="00231455">
              <w:rPr>
                <w:sz w:val="24"/>
                <w:szCs w:val="24"/>
                <w:lang w:val="ro-RO"/>
              </w:rPr>
              <w:t xml:space="preserve"> muncii - boli profesionale şi din secţiile de boli profesionale aflate în structura spitalelor, pentru care nu s-a confirmat caracterul de boală profesională, precum</w:t>
            </w:r>
            <w:r w:rsidRPr="00231455">
              <w:rPr>
                <w:iCs/>
                <w:sz w:val="24"/>
                <w:szCs w:val="24"/>
                <w:lang w:val="ro-RO"/>
              </w:rPr>
              <w:t xml:space="preserve"> şi pentru situaţii justificate ce pot apărea în derularea contractelor încheiate cu furnizorii de servicii medicale spitaliceşti;</w:t>
            </w:r>
          </w:p>
          <w:p w:rsidR="00F170B4" w:rsidRPr="00231455" w:rsidRDefault="00F170B4" w:rsidP="00F170B4">
            <w:pPr>
              <w:pStyle w:val="ListParagraph"/>
              <w:numPr>
                <w:ilvl w:val="1"/>
                <w:numId w:val="9"/>
              </w:numPr>
              <w:jc w:val="both"/>
              <w:rPr>
                <w:noProof/>
                <w:sz w:val="24"/>
                <w:szCs w:val="24"/>
                <w:lang w:val="ro-RO"/>
              </w:rPr>
            </w:pPr>
            <w:r w:rsidRPr="00231455">
              <w:rPr>
                <w:sz w:val="24"/>
                <w:szCs w:val="24"/>
                <w:lang w:val="ro-RO"/>
              </w:rPr>
              <w:t xml:space="preserve">1% pentru complexitatea suplimentară a cazurilor în ceea ce priveşte comorbiditatea şi numărul de zile de îngrijiri acordate în cadrul secţiilor/compartimentelor de terapie </w:t>
            </w:r>
            <w:r w:rsidR="00993CB1" w:rsidRPr="00231455">
              <w:rPr>
                <w:sz w:val="24"/>
                <w:szCs w:val="24"/>
                <w:lang w:val="ro-RO"/>
              </w:rPr>
              <w:t>intensive.</w:t>
            </w:r>
          </w:p>
          <w:p w:rsidR="00993CB1" w:rsidRPr="00231455" w:rsidRDefault="00993CB1" w:rsidP="00993CB1">
            <w:pPr>
              <w:pStyle w:val="ListParagraph"/>
              <w:ind w:left="1529"/>
              <w:jc w:val="both"/>
              <w:rPr>
                <w:noProof/>
                <w:sz w:val="24"/>
                <w:szCs w:val="24"/>
                <w:lang w:val="ro-RO"/>
              </w:rPr>
            </w:pPr>
          </w:p>
          <w:p w:rsidR="00993CB1" w:rsidRPr="00FC40E3" w:rsidRDefault="00993CB1" w:rsidP="00747CD9">
            <w:pPr>
              <w:pStyle w:val="ListParagraph"/>
              <w:numPr>
                <w:ilvl w:val="0"/>
                <w:numId w:val="9"/>
              </w:numPr>
              <w:ind w:left="89" w:firstLine="360"/>
              <w:jc w:val="both"/>
              <w:rPr>
                <w:noProof/>
                <w:sz w:val="24"/>
                <w:szCs w:val="24"/>
                <w:lang w:val="ro-RO"/>
              </w:rPr>
            </w:pPr>
            <w:r w:rsidRPr="00FC40E3">
              <w:rPr>
                <w:noProof/>
                <w:sz w:val="24"/>
                <w:szCs w:val="24"/>
                <w:lang w:val="ro-RO"/>
              </w:rPr>
              <w:t>Medicamente cu și fără contribuție personală în tratamentul ambulatoriu:</w:t>
            </w:r>
          </w:p>
          <w:p w:rsidR="00993CB1" w:rsidRPr="00482E6B" w:rsidRDefault="00993CB1" w:rsidP="00482E6B">
            <w:pPr>
              <w:spacing w:after="0" w:line="240" w:lineRule="auto"/>
              <w:jc w:val="both"/>
              <w:rPr>
                <w:iCs/>
                <w:sz w:val="24"/>
                <w:szCs w:val="24"/>
              </w:rPr>
            </w:pPr>
            <w:r w:rsidRPr="00E83171">
              <w:rPr>
                <w:rFonts w:ascii="Times New Roman" w:hAnsi="Times New Roman" w:cs="Times New Roman"/>
                <w:noProof/>
                <w:sz w:val="24"/>
                <w:szCs w:val="24"/>
              </w:rPr>
              <w:t xml:space="preserve">  </w:t>
            </w:r>
            <w:r w:rsidR="00482E6B">
              <w:rPr>
                <w:rFonts w:ascii="Times New Roman" w:hAnsi="Times New Roman" w:cs="Times New Roman"/>
                <w:noProof/>
                <w:sz w:val="24"/>
                <w:szCs w:val="24"/>
              </w:rPr>
              <w:t xml:space="preserve">         </w:t>
            </w:r>
            <w:r w:rsidRPr="00E83171">
              <w:rPr>
                <w:rFonts w:ascii="Times New Roman" w:hAnsi="Times New Roman" w:cs="Times New Roman"/>
                <w:noProof/>
                <w:sz w:val="24"/>
                <w:szCs w:val="24"/>
              </w:rPr>
              <w:t xml:space="preserve"> -  au fost revizuite </w:t>
            </w:r>
            <w:r w:rsidRPr="00E83171">
              <w:rPr>
                <w:rFonts w:ascii="Times New Roman" w:hAnsi="Times New Roman" w:cs="Times New Roman"/>
                <w:sz w:val="24"/>
                <w:szCs w:val="24"/>
              </w:rPr>
              <w:t xml:space="preserve">reglementările referitoare la situațiile în care casa de asigurări de sănătate sesizează neconcordanţe între </w:t>
            </w:r>
            <w:r w:rsidRPr="00E83171">
              <w:rPr>
                <w:rFonts w:ascii="Times New Roman" w:hAnsi="Times New Roman" w:cs="Times New Roman"/>
                <w:iCs/>
                <w:sz w:val="24"/>
                <w:szCs w:val="24"/>
              </w:rPr>
              <w:t xml:space="preserve">medicamentele/materialele sanitare eliberate şi cantitatea de medicamente/materiale sanitare achiziţionate; </w:t>
            </w:r>
            <w:r w:rsidRPr="00E83171">
              <w:rPr>
                <w:rFonts w:ascii="Times New Roman" w:hAnsi="Times New Roman" w:cs="Times New Roman"/>
                <w:sz w:val="24"/>
                <w:szCs w:val="24"/>
              </w:rPr>
              <w:t>în aceste situații  casa de asigurări de sănătate sesizează mai departe instituţiile abilitate de lege să efectueze controlul unităţii respective.</w:t>
            </w:r>
            <w:r w:rsidR="00231455" w:rsidRPr="00E83171">
              <w:rPr>
                <w:rFonts w:ascii="Times New Roman" w:hAnsi="Times New Roman" w:cs="Times New Roman"/>
                <w:sz w:val="24"/>
                <w:szCs w:val="24"/>
              </w:rPr>
              <w:t xml:space="preserve"> </w:t>
            </w:r>
            <w:r w:rsidR="00E83171" w:rsidRPr="00482E6B">
              <w:rPr>
                <w:rFonts w:ascii="Times New Roman" w:hAnsi="Times New Roman" w:cs="Times New Roman"/>
                <w:sz w:val="24"/>
                <w:szCs w:val="24"/>
              </w:rPr>
              <w:t xml:space="preserve">În situația în care, urmare a controlului desfășurat de către instituțiile abilitate, se stabileşte vinovăţia furnizorului, potrivit legii, contractul în derulare se reziliază de plin drept de la data luarii la cunostinta a notificarii privind rezilierea contractului, emisă in baza deciziei executorii dispusă în cauza respectivă, cu recuperarea contravalorii tuturor medicamentelor eliberate de furnizor </w:t>
            </w:r>
            <w:r w:rsidR="00E83171" w:rsidRPr="00482E6B">
              <w:rPr>
                <w:rFonts w:ascii="Times New Roman" w:hAnsi="Times New Roman" w:cs="Times New Roman"/>
                <w:iCs/>
                <w:sz w:val="24"/>
                <w:szCs w:val="24"/>
              </w:rPr>
              <w:t xml:space="preserve">în baza contractului încheiat cu casa de asigurări de sănătate </w:t>
            </w:r>
            <w:r w:rsidR="00E83171" w:rsidRPr="00482E6B">
              <w:rPr>
                <w:rFonts w:ascii="Times New Roman" w:hAnsi="Times New Roman" w:cs="Times New Roman"/>
                <w:sz w:val="24"/>
                <w:szCs w:val="24"/>
              </w:rPr>
              <w:t>în perioada verificată de instituţiile abilitate şi decontată de către de casa de asigurări de sănătate.</w:t>
            </w:r>
          </w:p>
          <w:p w:rsidR="00B531D8" w:rsidRPr="00FC40E3" w:rsidRDefault="00B531D8" w:rsidP="00482E6B">
            <w:pPr>
              <w:pStyle w:val="ListParagraph"/>
              <w:ind w:left="16" w:firstLine="704"/>
              <w:jc w:val="both"/>
              <w:rPr>
                <w:sz w:val="24"/>
                <w:szCs w:val="24"/>
                <w:lang w:val="ro-RO"/>
              </w:rPr>
            </w:pPr>
            <w:r w:rsidRPr="00FC40E3">
              <w:rPr>
                <w:noProof/>
                <w:sz w:val="24"/>
                <w:szCs w:val="24"/>
                <w:lang w:val="ro-RO"/>
              </w:rPr>
              <w:t xml:space="preserve">- au fost revizuite </w:t>
            </w:r>
            <w:r w:rsidR="00276C1F" w:rsidRPr="00FC40E3">
              <w:rPr>
                <w:noProof/>
                <w:sz w:val="24"/>
                <w:szCs w:val="24"/>
                <w:lang w:val="ro-RO"/>
              </w:rPr>
              <w:t xml:space="preserve">în sensul coroborării sau clarificării unor obligații </w:t>
            </w:r>
            <w:r w:rsidRPr="00FC40E3">
              <w:rPr>
                <w:noProof/>
                <w:sz w:val="24"/>
                <w:szCs w:val="24"/>
                <w:lang w:val="ro-RO"/>
              </w:rPr>
              <w:t xml:space="preserve">/ eliminate unele dintre obligațiile farmaciilor în relațiile contractuale cu casele de asigurări de sănătate (ex. obligația de a respecta Codul deontologic al farmacistului – a fost eliminată având în vedere că verificarea respectării acestei obligații revine Colegiului Farmaciștilot din România) </w:t>
            </w:r>
          </w:p>
          <w:p w:rsidR="00993CB1" w:rsidRPr="00231455" w:rsidRDefault="00993CB1" w:rsidP="00993CB1">
            <w:pPr>
              <w:pStyle w:val="ListParagraph"/>
              <w:jc w:val="both"/>
              <w:rPr>
                <w:noProof/>
                <w:sz w:val="24"/>
                <w:szCs w:val="24"/>
                <w:lang w:val="ro-RO"/>
              </w:rPr>
            </w:pPr>
          </w:p>
          <w:p w:rsidR="008E44A6" w:rsidRPr="00231455" w:rsidRDefault="008E44A6" w:rsidP="00747CD9">
            <w:pPr>
              <w:pStyle w:val="ListParagraph"/>
              <w:numPr>
                <w:ilvl w:val="0"/>
                <w:numId w:val="9"/>
              </w:numPr>
              <w:ind w:left="89" w:firstLine="360"/>
              <w:jc w:val="both"/>
              <w:rPr>
                <w:noProof/>
                <w:sz w:val="24"/>
                <w:szCs w:val="24"/>
                <w:lang w:val="ro-RO"/>
              </w:rPr>
            </w:pPr>
            <w:r w:rsidRPr="00231455">
              <w:rPr>
                <w:noProof/>
                <w:sz w:val="24"/>
                <w:szCs w:val="24"/>
                <w:lang w:val="ro-RO"/>
              </w:rPr>
              <w:t>Dispozitive medicale:</w:t>
            </w:r>
          </w:p>
          <w:p w:rsidR="008E44A6" w:rsidRPr="00FC40E3" w:rsidRDefault="008E44A6" w:rsidP="008E44A6">
            <w:pPr>
              <w:pStyle w:val="ListParagraph"/>
              <w:numPr>
                <w:ilvl w:val="0"/>
                <w:numId w:val="11"/>
              </w:numPr>
              <w:jc w:val="both"/>
              <w:rPr>
                <w:noProof/>
                <w:sz w:val="24"/>
                <w:szCs w:val="24"/>
                <w:lang w:val="ro-RO"/>
              </w:rPr>
            </w:pPr>
            <w:r w:rsidRPr="00FC40E3">
              <w:rPr>
                <w:noProof/>
                <w:sz w:val="24"/>
                <w:szCs w:val="24"/>
                <w:lang w:val="ro-RO"/>
              </w:rPr>
              <w:t xml:space="preserve">pentru proteza de gambă s-a introdus tipul de proteză  </w:t>
            </w:r>
            <w:r w:rsidRPr="00FC40E3">
              <w:rPr>
                <w:sz w:val="24"/>
                <w:szCs w:val="24"/>
                <w:lang w:val="ro-RO"/>
              </w:rPr>
              <w:t>modulară cu manșon din silicon</w:t>
            </w:r>
          </w:p>
          <w:p w:rsidR="00276C1F" w:rsidRPr="00FC40E3" w:rsidRDefault="008E44A6" w:rsidP="00276C1F">
            <w:pPr>
              <w:pStyle w:val="ListParagraph"/>
              <w:numPr>
                <w:ilvl w:val="0"/>
                <w:numId w:val="11"/>
              </w:numPr>
              <w:jc w:val="both"/>
              <w:rPr>
                <w:noProof/>
                <w:sz w:val="24"/>
                <w:szCs w:val="24"/>
                <w:lang w:val="ro-RO"/>
              </w:rPr>
            </w:pPr>
            <w:r w:rsidRPr="00FC40E3">
              <w:rPr>
                <w:sz w:val="24"/>
                <w:szCs w:val="24"/>
                <w:lang w:val="ro-RO"/>
              </w:rPr>
              <w:t>la proteza partială</w:t>
            </w:r>
            <w:r w:rsidR="00FD08D4" w:rsidRPr="00FC40E3">
              <w:rPr>
                <w:sz w:val="24"/>
                <w:szCs w:val="24"/>
                <w:lang w:val="ro-RO"/>
              </w:rPr>
              <w:t xml:space="preserve"> </w:t>
            </w:r>
            <w:r w:rsidRPr="00FC40E3">
              <w:rPr>
                <w:sz w:val="24"/>
                <w:szCs w:val="24"/>
                <w:lang w:val="ro-RO"/>
              </w:rPr>
              <w:t xml:space="preserve">de mână a fost introdusă </w:t>
            </w:r>
            <w:r w:rsidRPr="00FC40E3">
              <w:rPr>
                <w:noProof/>
                <w:sz w:val="24"/>
                <w:szCs w:val="24"/>
                <w:lang w:val="ro-RO"/>
              </w:rPr>
              <w:t>proteza</w:t>
            </w:r>
            <w:r w:rsidR="00FD08D4" w:rsidRPr="00FC40E3">
              <w:rPr>
                <w:noProof/>
                <w:sz w:val="24"/>
                <w:szCs w:val="24"/>
                <w:lang w:val="ro-RO"/>
              </w:rPr>
              <w:t xml:space="preserve"> </w:t>
            </w:r>
            <w:r w:rsidRPr="00FC40E3">
              <w:rPr>
                <w:sz w:val="24"/>
                <w:szCs w:val="24"/>
                <w:lang w:val="ro-RO"/>
              </w:rPr>
              <w:t>de deget funcţională simplă acordată copiilor cu vârsta cuprinsă între 3-18 ani cu malformații congenitale</w:t>
            </w:r>
            <w:r w:rsidR="00FD08D4" w:rsidRPr="00FC40E3">
              <w:rPr>
                <w:sz w:val="24"/>
                <w:szCs w:val="24"/>
                <w:lang w:val="ro-RO"/>
              </w:rPr>
              <w:t>.</w:t>
            </w:r>
          </w:p>
          <w:p w:rsidR="00B95EB1" w:rsidRPr="00FC40E3" w:rsidRDefault="00276C1F" w:rsidP="00276C1F">
            <w:pPr>
              <w:pStyle w:val="ListParagraph"/>
              <w:numPr>
                <w:ilvl w:val="0"/>
                <w:numId w:val="11"/>
              </w:numPr>
              <w:ind w:left="16" w:firstLine="944"/>
              <w:jc w:val="both"/>
              <w:rPr>
                <w:noProof/>
                <w:sz w:val="24"/>
                <w:szCs w:val="24"/>
                <w:lang w:val="ro-RO"/>
              </w:rPr>
            </w:pPr>
            <w:r w:rsidRPr="00FC40E3">
              <w:rPr>
                <w:noProof/>
                <w:sz w:val="24"/>
                <w:szCs w:val="24"/>
                <w:lang w:val="ro-RO"/>
              </w:rPr>
              <w:t>f</w:t>
            </w:r>
            <w:r w:rsidR="00B95EB1" w:rsidRPr="00FC40E3">
              <w:rPr>
                <w:noProof/>
                <w:sz w:val="24"/>
                <w:szCs w:val="24"/>
                <w:lang w:val="ro-RO"/>
              </w:rPr>
              <w:t xml:space="preserve">urnizorii de dispozitive medicale care solicită încheierea unei relații contractuale cu casele de asigurări de sănătate și care nu depun lista </w:t>
            </w:r>
            <w:r w:rsidR="00FD08D4" w:rsidRPr="00FC40E3">
              <w:rPr>
                <w:noProof/>
                <w:sz w:val="24"/>
                <w:szCs w:val="24"/>
                <w:lang w:val="ro-RO"/>
              </w:rPr>
              <w:t xml:space="preserve">tuturor </w:t>
            </w:r>
            <w:r w:rsidR="00B95EB1" w:rsidRPr="00FC40E3">
              <w:rPr>
                <w:sz w:val="24"/>
                <w:szCs w:val="24"/>
                <w:lang w:val="ro-RO"/>
              </w:rPr>
              <w:t xml:space="preserve">preţurilor de vânzare cu amănuntul şi a sumelor de închiriere ale dispozitivelor medicale ofertate </w:t>
            </w:r>
            <w:r w:rsidR="00B95EB1" w:rsidRPr="00FC40E3">
              <w:rPr>
                <w:noProof/>
                <w:sz w:val="24"/>
                <w:szCs w:val="24"/>
                <w:lang w:val="ro-RO"/>
              </w:rPr>
              <w:t>atât la casa de asigurări de sănătate (</w:t>
            </w:r>
            <w:r w:rsidR="00B95EB1" w:rsidRPr="00FC40E3">
              <w:rPr>
                <w:i/>
                <w:noProof/>
                <w:sz w:val="24"/>
                <w:szCs w:val="24"/>
                <w:lang w:val="ro-RO"/>
              </w:rPr>
              <w:t>în cadrul documentației depuse pentru contractare</w:t>
            </w:r>
            <w:r w:rsidR="00B95EB1" w:rsidRPr="00FC40E3">
              <w:rPr>
                <w:noProof/>
                <w:sz w:val="24"/>
                <w:szCs w:val="24"/>
                <w:lang w:val="ro-RO"/>
              </w:rPr>
              <w:t xml:space="preserve">) cât și </w:t>
            </w:r>
            <w:smartTag w:uri="urn:schemas-microsoft-com:office:smarttags" w:element="metricconverter">
              <w:smartTagPr>
                <w:attr w:name="ProductID" w:val="2016 a"/>
              </w:smartTagPr>
              <w:r w:rsidR="00B95EB1" w:rsidRPr="00FC40E3">
                <w:rPr>
                  <w:noProof/>
                  <w:sz w:val="24"/>
                  <w:szCs w:val="24"/>
                  <w:lang w:val="ro-RO"/>
                </w:rPr>
                <w:t>la Casa Na</w:t>
              </w:r>
            </w:smartTag>
            <w:r w:rsidR="00B95EB1" w:rsidRPr="00FC40E3">
              <w:rPr>
                <w:noProof/>
                <w:sz w:val="24"/>
                <w:szCs w:val="24"/>
                <w:lang w:val="ro-RO"/>
              </w:rPr>
              <w:t xml:space="preserve">țională de Asigurări de Sănătate </w:t>
            </w:r>
            <w:r w:rsidR="00B95EB1" w:rsidRPr="00FC40E3">
              <w:rPr>
                <w:i/>
                <w:noProof/>
                <w:sz w:val="24"/>
                <w:szCs w:val="24"/>
                <w:lang w:val="ro-RO"/>
              </w:rPr>
              <w:t>(</w:t>
            </w:r>
            <w:r w:rsidR="00B95EB1" w:rsidRPr="00FC40E3">
              <w:rPr>
                <w:i/>
                <w:sz w:val="24"/>
                <w:szCs w:val="24"/>
                <w:lang w:val="ro-RO"/>
              </w:rPr>
              <w:t>în vederea calculării preţurilor de referinţă şi a sumelor de închiriere decontate în sistemul asigurărilor sociale de sănătate</w:t>
            </w:r>
            <w:r w:rsidR="00B95EB1" w:rsidRPr="00FC40E3">
              <w:rPr>
                <w:sz w:val="24"/>
                <w:szCs w:val="24"/>
                <w:lang w:val="ro-RO"/>
              </w:rPr>
              <w:t>), nu pot derula relații contractuale cu casele de asigurări de sănătate.</w:t>
            </w:r>
          </w:p>
          <w:p w:rsidR="00B95EB1" w:rsidRPr="00231455" w:rsidRDefault="00B95EB1" w:rsidP="00C4791A">
            <w:pPr>
              <w:tabs>
                <w:tab w:val="left" w:pos="16"/>
                <w:tab w:val="left" w:pos="1276"/>
              </w:tabs>
              <w:spacing w:after="0" w:line="240" w:lineRule="auto"/>
              <w:ind w:left="960"/>
              <w:jc w:val="both"/>
              <w:rPr>
                <w:rFonts w:ascii="Times New Roman" w:hAnsi="Times New Roman" w:cs="Times New Roman"/>
                <w:sz w:val="26"/>
                <w:szCs w:val="26"/>
                <w:lang w:eastAsia="ro-RO"/>
              </w:rPr>
            </w:pPr>
          </w:p>
        </w:tc>
      </w:tr>
      <w:tr w:rsidR="00B95EB1" w:rsidRPr="00231455" w:rsidTr="00C11A4B">
        <w:tc>
          <w:tcPr>
            <w:tcW w:w="9934" w:type="dxa"/>
            <w:gridSpan w:val="9"/>
          </w:tcPr>
          <w:p w:rsidR="00B95EB1" w:rsidRPr="00231455" w:rsidRDefault="00B95EB1" w:rsidP="00A87583">
            <w:pPr>
              <w:tabs>
                <w:tab w:val="left" w:pos="3960"/>
              </w:tabs>
              <w:spacing w:after="0" w:line="240" w:lineRule="auto"/>
              <w:jc w:val="both"/>
              <w:rPr>
                <w:rFonts w:ascii="Times New Roman" w:hAnsi="Times New Roman" w:cs="Times New Roman"/>
                <w:b/>
                <w:bCs/>
                <w:sz w:val="26"/>
                <w:szCs w:val="26"/>
              </w:rPr>
            </w:pPr>
            <w:r w:rsidRPr="00231455">
              <w:rPr>
                <w:rFonts w:ascii="Times New Roman" w:hAnsi="Times New Roman" w:cs="Times New Roman"/>
                <w:b/>
                <w:bCs/>
                <w:sz w:val="26"/>
                <w:szCs w:val="26"/>
              </w:rPr>
              <w:lastRenderedPageBreak/>
              <w:t>3. Alte informaţii</w:t>
            </w:r>
          </w:p>
          <w:p w:rsidR="00B95EB1" w:rsidRPr="00231455" w:rsidRDefault="00B95EB1" w:rsidP="003778CC">
            <w:pPr>
              <w:tabs>
                <w:tab w:val="left" w:pos="3960"/>
              </w:tabs>
              <w:spacing w:after="0" w:line="240" w:lineRule="auto"/>
              <w:jc w:val="both"/>
              <w:rPr>
                <w:rFonts w:ascii="Times New Roman" w:hAnsi="Times New Roman" w:cs="Times New Roman"/>
                <w:sz w:val="26"/>
                <w:szCs w:val="26"/>
              </w:rPr>
            </w:pPr>
          </w:p>
        </w:tc>
      </w:tr>
      <w:tr w:rsidR="00B95EB1" w:rsidRPr="00231455" w:rsidTr="00C11A4B">
        <w:tc>
          <w:tcPr>
            <w:tcW w:w="9934" w:type="dxa"/>
            <w:gridSpan w:val="9"/>
          </w:tcPr>
          <w:p w:rsidR="00B95EB1" w:rsidRPr="00231455" w:rsidRDefault="00B95EB1" w:rsidP="00A87583">
            <w:pPr>
              <w:tabs>
                <w:tab w:val="left" w:pos="3960"/>
              </w:tabs>
              <w:spacing w:after="0"/>
              <w:jc w:val="center"/>
              <w:rPr>
                <w:rFonts w:ascii="Times New Roman" w:hAnsi="Times New Roman" w:cs="Times New Roman"/>
                <w:b/>
                <w:bCs/>
                <w:sz w:val="26"/>
                <w:szCs w:val="26"/>
              </w:rPr>
            </w:pPr>
          </w:p>
          <w:p w:rsidR="00B95EB1" w:rsidRPr="00231455" w:rsidRDefault="00B95EB1" w:rsidP="00A87583">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Secţiunea a 3-a</w:t>
            </w:r>
          </w:p>
          <w:p w:rsidR="00B95EB1" w:rsidRPr="00231455" w:rsidRDefault="00B95EB1" w:rsidP="009C0BB2">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Impactul socio-economic al proiectului de act normativ</w:t>
            </w:r>
          </w:p>
          <w:p w:rsidR="00B95EB1" w:rsidRPr="00231455" w:rsidRDefault="00B95EB1" w:rsidP="009C0BB2">
            <w:pPr>
              <w:tabs>
                <w:tab w:val="left" w:pos="3960"/>
              </w:tabs>
              <w:spacing w:after="0"/>
              <w:jc w:val="center"/>
              <w:rPr>
                <w:rFonts w:ascii="Times New Roman" w:hAnsi="Times New Roman" w:cs="Times New Roman"/>
                <w:b/>
                <w:bCs/>
                <w:sz w:val="26"/>
                <w:szCs w:val="26"/>
              </w:rPr>
            </w:pPr>
          </w:p>
        </w:tc>
      </w:tr>
      <w:tr w:rsidR="00B95EB1" w:rsidRPr="00231455" w:rsidTr="00D95F14">
        <w:trPr>
          <w:trHeight w:val="717"/>
        </w:trPr>
        <w:tc>
          <w:tcPr>
            <w:tcW w:w="4427" w:type="dxa"/>
          </w:tcPr>
          <w:p w:rsidR="00B95EB1" w:rsidRPr="00231455" w:rsidRDefault="00B95EB1" w:rsidP="00A87583">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1. Impact macro-economic</w:t>
            </w:r>
          </w:p>
          <w:p w:rsidR="00B95EB1" w:rsidRPr="00231455" w:rsidRDefault="00B95EB1" w:rsidP="00C11A4B">
            <w:pPr>
              <w:tabs>
                <w:tab w:val="left" w:pos="3960"/>
              </w:tabs>
              <w:spacing w:after="0"/>
              <w:jc w:val="both"/>
              <w:rPr>
                <w:rFonts w:ascii="Times New Roman" w:hAnsi="Times New Roman" w:cs="Times New Roman"/>
                <w:sz w:val="26"/>
                <w:szCs w:val="26"/>
              </w:rPr>
            </w:pPr>
          </w:p>
        </w:tc>
        <w:tc>
          <w:tcPr>
            <w:tcW w:w="5507" w:type="dxa"/>
            <w:gridSpan w:val="8"/>
          </w:tcPr>
          <w:p w:rsidR="00B95EB1" w:rsidRPr="00231455" w:rsidRDefault="00B95EB1" w:rsidP="00C11A4B">
            <w:pPr>
              <w:tabs>
                <w:tab w:val="left" w:pos="3960"/>
              </w:tabs>
              <w:spacing w:after="0"/>
              <w:jc w:val="both"/>
              <w:rPr>
                <w:rFonts w:ascii="Times New Roman" w:hAnsi="Times New Roman" w:cs="Times New Roman"/>
                <w:sz w:val="24"/>
                <w:szCs w:val="24"/>
              </w:rPr>
            </w:pPr>
            <w:r w:rsidRPr="00231455">
              <w:rPr>
                <w:rFonts w:ascii="Times New Roman" w:hAnsi="Times New Roman" w:cs="Times New Roman"/>
                <w:sz w:val="24"/>
                <w:szCs w:val="24"/>
              </w:rPr>
              <w:t>Proiectul de act normativ nu se referă la acest subiect</w:t>
            </w:r>
          </w:p>
        </w:tc>
      </w:tr>
      <w:tr w:rsidR="00B95EB1" w:rsidRPr="00231455" w:rsidTr="00D95F14">
        <w:trPr>
          <w:trHeight w:val="714"/>
        </w:trPr>
        <w:tc>
          <w:tcPr>
            <w:tcW w:w="4427" w:type="dxa"/>
          </w:tcPr>
          <w:p w:rsidR="00B95EB1" w:rsidRPr="00231455" w:rsidRDefault="00B95EB1" w:rsidP="00C11A4B">
            <w:pPr>
              <w:tabs>
                <w:tab w:val="left" w:pos="3960"/>
              </w:tabs>
              <w:autoSpaceDE w:val="0"/>
              <w:autoSpaceDN w:val="0"/>
              <w:adjustRightInd w:val="0"/>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1</w:t>
            </w:r>
            <w:r w:rsidRPr="00231455">
              <w:rPr>
                <w:rFonts w:ascii="Times New Roman" w:hAnsi="Times New Roman" w:cs="Times New Roman"/>
                <w:b/>
                <w:bCs/>
                <w:sz w:val="26"/>
                <w:szCs w:val="26"/>
                <w:vertAlign w:val="superscript"/>
              </w:rPr>
              <w:t>1</w:t>
            </w:r>
            <w:r w:rsidRPr="00231455">
              <w:rPr>
                <w:rFonts w:ascii="Times New Roman" w:hAnsi="Times New Roman" w:cs="Times New Roman"/>
                <w:b/>
                <w:bCs/>
                <w:sz w:val="26"/>
                <w:szCs w:val="26"/>
              </w:rPr>
              <w:t>. Impactul asupra mediului concurenţial şi domeniului ajutoarelor de stat:</w:t>
            </w:r>
          </w:p>
        </w:tc>
        <w:tc>
          <w:tcPr>
            <w:tcW w:w="5507" w:type="dxa"/>
            <w:gridSpan w:val="8"/>
          </w:tcPr>
          <w:p w:rsidR="00B95EB1" w:rsidRPr="00231455" w:rsidRDefault="00B95EB1" w:rsidP="00C11A4B">
            <w:pPr>
              <w:tabs>
                <w:tab w:val="left" w:pos="3960"/>
              </w:tabs>
              <w:spacing w:after="0"/>
              <w:jc w:val="both"/>
              <w:rPr>
                <w:rFonts w:ascii="Times New Roman" w:hAnsi="Times New Roman" w:cs="Times New Roman"/>
                <w:sz w:val="24"/>
                <w:szCs w:val="24"/>
              </w:rPr>
            </w:pPr>
            <w:r w:rsidRPr="00231455">
              <w:rPr>
                <w:rFonts w:ascii="Times New Roman" w:hAnsi="Times New Roman" w:cs="Times New Roman"/>
                <w:sz w:val="24"/>
                <w:szCs w:val="24"/>
              </w:rPr>
              <w:t>Proiectul de act normativ nu se referă la acest subiect</w:t>
            </w:r>
          </w:p>
          <w:p w:rsidR="00B95EB1" w:rsidRPr="00231455" w:rsidRDefault="00B95EB1" w:rsidP="00A87583">
            <w:pPr>
              <w:tabs>
                <w:tab w:val="left" w:pos="3960"/>
              </w:tabs>
              <w:spacing w:after="0"/>
              <w:jc w:val="both"/>
              <w:rPr>
                <w:rFonts w:ascii="Times New Roman" w:hAnsi="Times New Roman" w:cs="Times New Roman"/>
                <w:b/>
                <w:bCs/>
                <w:sz w:val="26"/>
                <w:szCs w:val="26"/>
              </w:rPr>
            </w:pPr>
          </w:p>
        </w:tc>
      </w:tr>
      <w:tr w:rsidR="00B95EB1" w:rsidRPr="00231455" w:rsidTr="00D95F14">
        <w:trPr>
          <w:trHeight w:val="714"/>
        </w:trPr>
        <w:tc>
          <w:tcPr>
            <w:tcW w:w="4427" w:type="dxa"/>
          </w:tcPr>
          <w:p w:rsidR="00B95EB1" w:rsidRPr="00231455" w:rsidRDefault="00B95EB1" w:rsidP="00A87583">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2. Impact asupra mediului de afaceri</w:t>
            </w:r>
          </w:p>
        </w:tc>
        <w:tc>
          <w:tcPr>
            <w:tcW w:w="5507" w:type="dxa"/>
            <w:gridSpan w:val="8"/>
          </w:tcPr>
          <w:p w:rsidR="00B95EB1" w:rsidRPr="00231455" w:rsidRDefault="00B95EB1" w:rsidP="00A87583">
            <w:pPr>
              <w:tabs>
                <w:tab w:val="left" w:pos="3960"/>
              </w:tabs>
              <w:spacing w:after="0"/>
              <w:jc w:val="both"/>
              <w:rPr>
                <w:rFonts w:ascii="Times New Roman" w:hAnsi="Times New Roman" w:cs="Times New Roman"/>
                <w:sz w:val="24"/>
                <w:szCs w:val="24"/>
              </w:rPr>
            </w:pPr>
            <w:r w:rsidRPr="00231455">
              <w:rPr>
                <w:rFonts w:ascii="Times New Roman" w:hAnsi="Times New Roman" w:cs="Times New Roman"/>
                <w:sz w:val="24"/>
                <w:szCs w:val="24"/>
              </w:rPr>
              <w:t>Proiectul de act normativ nu se referă la acest subiect</w:t>
            </w:r>
          </w:p>
        </w:tc>
      </w:tr>
      <w:tr w:rsidR="00B95EB1" w:rsidRPr="00231455" w:rsidTr="00D95F14">
        <w:trPr>
          <w:trHeight w:val="714"/>
        </w:trPr>
        <w:tc>
          <w:tcPr>
            <w:tcW w:w="4427" w:type="dxa"/>
          </w:tcPr>
          <w:p w:rsidR="00B95EB1" w:rsidRPr="00231455" w:rsidRDefault="00B95EB1" w:rsidP="00A87583">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2</w:t>
            </w:r>
            <w:r w:rsidRPr="00231455">
              <w:rPr>
                <w:rFonts w:ascii="Times New Roman" w:hAnsi="Times New Roman" w:cs="Times New Roman"/>
                <w:b/>
                <w:bCs/>
                <w:sz w:val="26"/>
                <w:szCs w:val="26"/>
                <w:vertAlign w:val="superscript"/>
              </w:rPr>
              <w:t>1</w:t>
            </w:r>
            <w:r w:rsidRPr="00231455">
              <w:rPr>
                <w:rFonts w:ascii="Times New Roman" w:hAnsi="Times New Roman" w:cs="Times New Roman"/>
                <w:b/>
                <w:bCs/>
                <w:sz w:val="26"/>
                <w:szCs w:val="26"/>
              </w:rPr>
              <w:t>. Impactul asupra sarcinilor administrative</w:t>
            </w:r>
          </w:p>
        </w:tc>
        <w:tc>
          <w:tcPr>
            <w:tcW w:w="5507" w:type="dxa"/>
            <w:gridSpan w:val="8"/>
          </w:tcPr>
          <w:p w:rsidR="00B95EB1" w:rsidRPr="00231455" w:rsidRDefault="00B95EB1" w:rsidP="00A87583">
            <w:pPr>
              <w:tabs>
                <w:tab w:val="left" w:pos="3960"/>
              </w:tabs>
              <w:spacing w:after="0"/>
              <w:jc w:val="both"/>
              <w:rPr>
                <w:rFonts w:ascii="Times New Roman" w:hAnsi="Times New Roman" w:cs="Times New Roman"/>
                <w:b/>
                <w:bCs/>
                <w:sz w:val="24"/>
                <w:szCs w:val="24"/>
              </w:rPr>
            </w:pPr>
            <w:r w:rsidRPr="00231455">
              <w:rPr>
                <w:rFonts w:ascii="Times New Roman" w:hAnsi="Times New Roman" w:cs="Times New Roman"/>
                <w:sz w:val="24"/>
                <w:szCs w:val="24"/>
              </w:rPr>
              <w:t>Proiectul de act normativ nu se referă la acest subiect</w:t>
            </w:r>
          </w:p>
        </w:tc>
      </w:tr>
      <w:tr w:rsidR="00B95EB1" w:rsidRPr="00231455" w:rsidTr="00D95F14">
        <w:trPr>
          <w:trHeight w:val="714"/>
        </w:trPr>
        <w:tc>
          <w:tcPr>
            <w:tcW w:w="4427" w:type="dxa"/>
          </w:tcPr>
          <w:p w:rsidR="00B95EB1" w:rsidRPr="00231455" w:rsidRDefault="00B95EB1" w:rsidP="00A87583">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2</w:t>
            </w:r>
            <w:r w:rsidRPr="00231455">
              <w:rPr>
                <w:rFonts w:ascii="Times New Roman" w:hAnsi="Times New Roman" w:cs="Times New Roman"/>
                <w:b/>
                <w:bCs/>
                <w:sz w:val="26"/>
                <w:szCs w:val="26"/>
                <w:vertAlign w:val="superscript"/>
              </w:rPr>
              <w:t>2</w:t>
            </w:r>
            <w:r w:rsidRPr="00231455">
              <w:rPr>
                <w:rFonts w:ascii="Times New Roman" w:hAnsi="Times New Roman" w:cs="Times New Roman"/>
                <w:b/>
                <w:bCs/>
                <w:sz w:val="26"/>
                <w:szCs w:val="26"/>
              </w:rPr>
              <w:t xml:space="preserve">. Impactul asupra întreprinderilor mici </w:t>
            </w:r>
            <w:r w:rsidRPr="00231455">
              <w:rPr>
                <w:rFonts w:ascii="Tahoma" w:hAnsi="Tahoma" w:cs="Tahoma"/>
                <w:b/>
                <w:bCs/>
                <w:sz w:val="26"/>
                <w:szCs w:val="26"/>
              </w:rPr>
              <w:t>ș</w:t>
            </w:r>
            <w:r w:rsidRPr="00231455">
              <w:rPr>
                <w:rFonts w:ascii="Times New Roman" w:hAnsi="Times New Roman" w:cs="Times New Roman"/>
                <w:b/>
                <w:bCs/>
                <w:sz w:val="26"/>
                <w:szCs w:val="26"/>
              </w:rPr>
              <w:t>i mijlocii</w:t>
            </w:r>
          </w:p>
        </w:tc>
        <w:tc>
          <w:tcPr>
            <w:tcW w:w="5507" w:type="dxa"/>
            <w:gridSpan w:val="8"/>
          </w:tcPr>
          <w:p w:rsidR="00B95EB1" w:rsidRPr="00231455" w:rsidRDefault="00B95EB1" w:rsidP="00A87583">
            <w:pPr>
              <w:tabs>
                <w:tab w:val="left" w:pos="3960"/>
              </w:tabs>
              <w:spacing w:after="0"/>
              <w:jc w:val="both"/>
              <w:rPr>
                <w:rFonts w:ascii="Times New Roman" w:hAnsi="Times New Roman" w:cs="Times New Roman"/>
                <w:b/>
                <w:bCs/>
                <w:sz w:val="24"/>
                <w:szCs w:val="24"/>
              </w:rPr>
            </w:pPr>
            <w:r w:rsidRPr="00231455">
              <w:rPr>
                <w:rFonts w:ascii="Times New Roman" w:hAnsi="Times New Roman" w:cs="Times New Roman"/>
                <w:sz w:val="24"/>
                <w:szCs w:val="24"/>
              </w:rPr>
              <w:t>Proiectul de act normativ nu se referă la acest subiect</w:t>
            </w:r>
          </w:p>
        </w:tc>
      </w:tr>
      <w:tr w:rsidR="00B95EB1" w:rsidRPr="00231455" w:rsidTr="00D95F14">
        <w:trPr>
          <w:trHeight w:val="714"/>
        </w:trPr>
        <w:tc>
          <w:tcPr>
            <w:tcW w:w="4427" w:type="dxa"/>
          </w:tcPr>
          <w:p w:rsidR="00B95EB1" w:rsidRPr="00231455" w:rsidRDefault="00B95EB1" w:rsidP="00C11A4B">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3. Impact social</w:t>
            </w:r>
          </w:p>
          <w:p w:rsidR="00B95EB1" w:rsidRPr="00231455" w:rsidRDefault="00B95EB1" w:rsidP="00A87583">
            <w:pPr>
              <w:tabs>
                <w:tab w:val="left" w:pos="3960"/>
              </w:tabs>
              <w:spacing w:after="0"/>
              <w:jc w:val="both"/>
              <w:rPr>
                <w:rFonts w:ascii="Times New Roman" w:hAnsi="Times New Roman" w:cs="Times New Roman"/>
                <w:b/>
                <w:bCs/>
                <w:sz w:val="26"/>
                <w:szCs w:val="26"/>
              </w:rPr>
            </w:pPr>
          </w:p>
        </w:tc>
        <w:tc>
          <w:tcPr>
            <w:tcW w:w="5507" w:type="dxa"/>
            <w:gridSpan w:val="8"/>
          </w:tcPr>
          <w:p w:rsidR="00B95EB1" w:rsidRPr="00231455" w:rsidRDefault="00B95EB1" w:rsidP="00A87583">
            <w:pPr>
              <w:tabs>
                <w:tab w:val="left" w:pos="3960"/>
              </w:tabs>
              <w:spacing w:after="0"/>
              <w:jc w:val="both"/>
              <w:rPr>
                <w:rFonts w:ascii="Times New Roman" w:hAnsi="Times New Roman" w:cs="Times New Roman"/>
                <w:sz w:val="24"/>
                <w:szCs w:val="24"/>
              </w:rPr>
            </w:pPr>
            <w:r w:rsidRPr="00231455">
              <w:rPr>
                <w:rFonts w:ascii="Times New Roman" w:hAnsi="Times New Roman" w:cs="Times New Roman"/>
                <w:sz w:val="24"/>
                <w:szCs w:val="24"/>
              </w:rPr>
              <w:t>Proiectul de act normativ nu se referă la acest subiect</w:t>
            </w:r>
          </w:p>
        </w:tc>
      </w:tr>
      <w:tr w:rsidR="00B95EB1" w:rsidRPr="00231455" w:rsidTr="00D95F14">
        <w:trPr>
          <w:trHeight w:val="714"/>
        </w:trPr>
        <w:tc>
          <w:tcPr>
            <w:tcW w:w="4427" w:type="dxa"/>
          </w:tcPr>
          <w:p w:rsidR="00B95EB1" w:rsidRPr="00231455" w:rsidRDefault="00B95EB1" w:rsidP="00C11A4B">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4. Impact asupra mediului</w:t>
            </w:r>
          </w:p>
          <w:p w:rsidR="00B95EB1" w:rsidRPr="00231455" w:rsidRDefault="00B95EB1" w:rsidP="00A87583">
            <w:pPr>
              <w:tabs>
                <w:tab w:val="left" w:pos="3960"/>
              </w:tabs>
              <w:spacing w:after="0"/>
              <w:jc w:val="both"/>
              <w:rPr>
                <w:rFonts w:ascii="Times New Roman" w:hAnsi="Times New Roman" w:cs="Times New Roman"/>
                <w:b/>
                <w:bCs/>
                <w:sz w:val="26"/>
                <w:szCs w:val="26"/>
              </w:rPr>
            </w:pPr>
          </w:p>
        </w:tc>
        <w:tc>
          <w:tcPr>
            <w:tcW w:w="5507" w:type="dxa"/>
            <w:gridSpan w:val="8"/>
          </w:tcPr>
          <w:p w:rsidR="00B95EB1" w:rsidRPr="00231455" w:rsidRDefault="00B95EB1" w:rsidP="00C11A4B">
            <w:pPr>
              <w:tabs>
                <w:tab w:val="left" w:pos="3960"/>
              </w:tabs>
              <w:spacing w:after="0"/>
              <w:jc w:val="both"/>
              <w:rPr>
                <w:rFonts w:ascii="Times New Roman" w:hAnsi="Times New Roman" w:cs="Times New Roman"/>
                <w:sz w:val="24"/>
                <w:szCs w:val="24"/>
              </w:rPr>
            </w:pPr>
            <w:r w:rsidRPr="00231455">
              <w:rPr>
                <w:rFonts w:ascii="Times New Roman" w:hAnsi="Times New Roman" w:cs="Times New Roman"/>
                <w:sz w:val="24"/>
                <w:szCs w:val="24"/>
              </w:rPr>
              <w:t>Proiectul de act normativ nu se referă la acest subiect</w:t>
            </w:r>
          </w:p>
          <w:p w:rsidR="00B95EB1" w:rsidRPr="00231455" w:rsidRDefault="00B95EB1" w:rsidP="00A87583">
            <w:pPr>
              <w:tabs>
                <w:tab w:val="left" w:pos="3960"/>
              </w:tabs>
              <w:spacing w:after="0"/>
              <w:jc w:val="both"/>
              <w:rPr>
                <w:rFonts w:ascii="Times New Roman" w:hAnsi="Times New Roman" w:cs="Times New Roman"/>
                <w:b/>
                <w:bCs/>
                <w:sz w:val="24"/>
                <w:szCs w:val="24"/>
              </w:rPr>
            </w:pPr>
          </w:p>
        </w:tc>
      </w:tr>
      <w:tr w:rsidR="00B95EB1" w:rsidRPr="00231455" w:rsidTr="00D95F14">
        <w:trPr>
          <w:trHeight w:val="714"/>
        </w:trPr>
        <w:tc>
          <w:tcPr>
            <w:tcW w:w="4427" w:type="dxa"/>
          </w:tcPr>
          <w:p w:rsidR="00B95EB1" w:rsidRPr="00231455" w:rsidRDefault="00B95EB1" w:rsidP="00C11A4B">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5. Alte informaţii</w:t>
            </w:r>
          </w:p>
        </w:tc>
        <w:tc>
          <w:tcPr>
            <w:tcW w:w="5507" w:type="dxa"/>
            <w:gridSpan w:val="8"/>
          </w:tcPr>
          <w:p w:rsidR="00B95EB1" w:rsidRPr="00231455" w:rsidRDefault="00B95EB1" w:rsidP="00A87583">
            <w:pPr>
              <w:tabs>
                <w:tab w:val="left" w:pos="3960"/>
              </w:tabs>
              <w:spacing w:after="0"/>
              <w:jc w:val="both"/>
              <w:rPr>
                <w:rFonts w:ascii="Times New Roman" w:hAnsi="Times New Roman" w:cs="Times New Roman"/>
                <w:b/>
                <w:bCs/>
                <w:sz w:val="24"/>
                <w:szCs w:val="24"/>
              </w:rPr>
            </w:pPr>
            <w:r w:rsidRPr="00231455">
              <w:rPr>
                <w:rFonts w:ascii="Times New Roman" w:hAnsi="Times New Roman" w:cs="Times New Roman"/>
                <w:bCs/>
                <w:sz w:val="24"/>
                <w:szCs w:val="24"/>
              </w:rPr>
              <w:t>Nu sunt</w:t>
            </w:r>
          </w:p>
        </w:tc>
      </w:tr>
      <w:tr w:rsidR="00B95EB1" w:rsidRPr="00231455" w:rsidTr="00C11A4B">
        <w:tc>
          <w:tcPr>
            <w:tcW w:w="9934" w:type="dxa"/>
            <w:gridSpan w:val="9"/>
          </w:tcPr>
          <w:p w:rsidR="00B95EB1" w:rsidRPr="00231455" w:rsidRDefault="00B95EB1" w:rsidP="00A87583">
            <w:pPr>
              <w:tabs>
                <w:tab w:val="left" w:pos="3960"/>
              </w:tabs>
              <w:spacing w:after="0"/>
              <w:jc w:val="center"/>
              <w:rPr>
                <w:rFonts w:ascii="Times New Roman" w:hAnsi="Times New Roman" w:cs="Times New Roman"/>
                <w:b/>
                <w:bCs/>
                <w:sz w:val="26"/>
                <w:szCs w:val="26"/>
              </w:rPr>
            </w:pPr>
          </w:p>
          <w:p w:rsidR="00B95EB1" w:rsidRPr="00231455" w:rsidRDefault="00B95EB1" w:rsidP="00A87583">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Secţiunea a 4-a</w:t>
            </w:r>
          </w:p>
          <w:p w:rsidR="00B95EB1" w:rsidRPr="00231455" w:rsidRDefault="00B95EB1" w:rsidP="00A87583">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Impactul financiar asupra bugetului general consolidat,</w:t>
            </w:r>
          </w:p>
          <w:p w:rsidR="00B95EB1" w:rsidRPr="00231455" w:rsidRDefault="00B95EB1" w:rsidP="00A87583">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atât pe termen scurt, pentru anul curent, cât şi pe termen lung (pe 5 ani)</w:t>
            </w:r>
          </w:p>
          <w:p w:rsidR="00B95EB1" w:rsidRPr="00231455" w:rsidRDefault="00B95EB1" w:rsidP="00EE5D74">
            <w:pPr>
              <w:tabs>
                <w:tab w:val="left" w:pos="3960"/>
              </w:tabs>
              <w:spacing w:after="0"/>
              <w:jc w:val="both"/>
              <w:rPr>
                <w:rFonts w:ascii="Times New Roman" w:hAnsi="Times New Roman" w:cs="Times New Roman"/>
                <w:sz w:val="26"/>
                <w:szCs w:val="26"/>
              </w:rPr>
            </w:pPr>
          </w:p>
          <w:p w:rsidR="00B95EB1" w:rsidRPr="00231455" w:rsidRDefault="00B95EB1" w:rsidP="00EE5D74">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 xml:space="preserve">Proiectul de act normativ nu are impact asupra bugetului general consolidat. </w:t>
            </w:r>
          </w:p>
          <w:p w:rsidR="00B95EB1" w:rsidRPr="00231455" w:rsidRDefault="00B95EB1" w:rsidP="00AA35A4">
            <w:pPr>
              <w:tabs>
                <w:tab w:val="left" w:pos="3960"/>
              </w:tabs>
              <w:spacing w:after="0"/>
              <w:jc w:val="center"/>
              <w:rPr>
                <w:rFonts w:ascii="Times New Roman" w:hAnsi="Times New Roman" w:cs="Times New Roman"/>
                <w:sz w:val="26"/>
                <w:szCs w:val="26"/>
              </w:rPr>
            </w:pPr>
          </w:p>
        </w:tc>
      </w:tr>
      <w:tr w:rsidR="00B95EB1" w:rsidRPr="00231455" w:rsidTr="00C11A4B">
        <w:tc>
          <w:tcPr>
            <w:tcW w:w="9934" w:type="dxa"/>
            <w:gridSpan w:val="9"/>
          </w:tcPr>
          <w:p w:rsidR="00B95EB1" w:rsidRPr="00231455" w:rsidRDefault="00B95EB1" w:rsidP="00A87583">
            <w:pPr>
              <w:tabs>
                <w:tab w:val="left" w:pos="3960"/>
              </w:tabs>
              <w:spacing w:after="0"/>
              <w:jc w:val="right"/>
              <w:rPr>
                <w:rFonts w:ascii="Times New Roman" w:hAnsi="Times New Roman" w:cs="Times New Roman"/>
                <w:sz w:val="26"/>
                <w:szCs w:val="26"/>
              </w:rPr>
            </w:pPr>
            <w:r w:rsidRPr="00231455">
              <w:rPr>
                <w:rFonts w:ascii="Times New Roman" w:hAnsi="Times New Roman" w:cs="Times New Roman"/>
                <w:sz w:val="26"/>
                <w:szCs w:val="26"/>
              </w:rPr>
              <w:t>-  mii lei -</w:t>
            </w:r>
          </w:p>
        </w:tc>
      </w:tr>
      <w:tr w:rsidR="00B95EB1" w:rsidRPr="00231455" w:rsidTr="00D95F14">
        <w:tc>
          <w:tcPr>
            <w:tcW w:w="4525" w:type="dxa"/>
            <w:gridSpan w:val="2"/>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Indicatori</w:t>
            </w:r>
          </w:p>
        </w:tc>
        <w:tc>
          <w:tcPr>
            <w:tcW w:w="1269" w:type="dxa"/>
            <w:gridSpan w:val="2"/>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Anul curent</w:t>
            </w:r>
          </w:p>
        </w:tc>
        <w:tc>
          <w:tcPr>
            <w:tcW w:w="2340" w:type="dxa"/>
            <w:gridSpan w:val="4"/>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Următorii patru ani</w:t>
            </w:r>
          </w:p>
        </w:tc>
        <w:tc>
          <w:tcPr>
            <w:tcW w:w="1800" w:type="dxa"/>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 xml:space="preserve">Media </w:t>
            </w:r>
          </w:p>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 xml:space="preserve">pe cinci ani </w:t>
            </w:r>
          </w:p>
        </w:tc>
      </w:tr>
      <w:tr w:rsidR="00B95EB1" w:rsidRPr="00231455" w:rsidTr="00D95F14">
        <w:tc>
          <w:tcPr>
            <w:tcW w:w="4525" w:type="dxa"/>
            <w:gridSpan w:val="2"/>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1</w:t>
            </w:r>
          </w:p>
        </w:tc>
        <w:tc>
          <w:tcPr>
            <w:tcW w:w="1269" w:type="dxa"/>
            <w:gridSpan w:val="2"/>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2</w:t>
            </w:r>
          </w:p>
        </w:tc>
        <w:tc>
          <w:tcPr>
            <w:tcW w:w="540" w:type="dxa"/>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3</w:t>
            </w:r>
          </w:p>
        </w:tc>
        <w:tc>
          <w:tcPr>
            <w:tcW w:w="667" w:type="dxa"/>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4</w:t>
            </w:r>
          </w:p>
        </w:tc>
        <w:tc>
          <w:tcPr>
            <w:tcW w:w="593" w:type="dxa"/>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5</w:t>
            </w:r>
          </w:p>
        </w:tc>
        <w:tc>
          <w:tcPr>
            <w:tcW w:w="540" w:type="dxa"/>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6</w:t>
            </w:r>
          </w:p>
        </w:tc>
        <w:tc>
          <w:tcPr>
            <w:tcW w:w="1800" w:type="dxa"/>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sz w:val="26"/>
                <w:szCs w:val="26"/>
              </w:rPr>
              <w:t>7</w:t>
            </w:r>
          </w:p>
        </w:tc>
      </w:tr>
      <w:tr w:rsidR="00B95EB1" w:rsidRPr="00231455" w:rsidTr="00D95F14">
        <w:tc>
          <w:tcPr>
            <w:tcW w:w="4525" w:type="dxa"/>
            <w:gridSpan w:val="2"/>
          </w:tcPr>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1. Modificări ale veniturilor bugetare, plus/minus, din care:</w:t>
            </w:r>
          </w:p>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a) buget de stat, din acesta:</w:t>
            </w:r>
          </w:p>
          <w:p w:rsidR="00B95EB1" w:rsidRPr="00231455" w:rsidRDefault="00B95EB1" w:rsidP="00A87583">
            <w:pPr>
              <w:numPr>
                <w:ilvl w:val="0"/>
                <w:numId w:val="1"/>
              </w:numPr>
              <w:tabs>
                <w:tab w:val="left" w:pos="3960"/>
              </w:tabs>
              <w:spacing w:after="0" w:line="240" w:lineRule="auto"/>
              <w:jc w:val="both"/>
              <w:rPr>
                <w:rFonts w:ascii="Times New Roman" w:hAnsi="Times New Roman" w:cs="Times New Roman"/>
                <w:sz w:val="26"/>
                <w:szCs w:val="26"/>
              </w:rPr>
            </w:pPr>
            <w:r w:rsidRPr="00231455">
              <w:rPr>
                <w:rFonts w:ascii="Times New Roman" w:hAnsi="Times New Roman" w:cs="Times New Roman"/>
                <w:sz w:val="26"/>
                <w:szCs w:val="26"/>
              </w:rPr>
              <w:t>impozit pe profit</w:t>
            </w:r>
          </w:p>
          <w:p w:rsidR="00B95EB1" w:rsidRPr="00231455" w:rsidRDefault="00B95EB1" w:rsidP="00A87583">
            <w:pPr>
              <w:numPr>
                <w:ilvl w:val="0"/>
                <w:numId w:val="1"/>
              </w:numPr>
              <w:tabs>
                <w:tab w:val="left" w:pos="3960"/>
              </w:tabs>
              <w:spacing w:after="0" w:line="240" w:lineRule="auto"/>
              <w:jc w:val="both"/>
              <w:rPr>
                <w:rFonts w:ascii="Times New Roman" w:hAnsi="Times New Roman" w:cs="Times New Roman"/>
                <w:sz w:val="26"/>
                <w:szCs w:val="26"/>
              </w:rPr>
            </w:pPr>
            <w:r w:rsidRPr="00231455">
              <w:rPr>
                <w:rFonts w:ascii="Times New Roman" w:hAnsi="Times New Roman" w:cs="Times New Roman"/>
                <w:sz w:val="26"/>
                <w:szCs w:val="26"/>
              </w:rPr>
              <w:t>impozit pe venit</w:t>
            </w:r>
          </w:p>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b) bugete locale</w:t>
            </w:r>
          </w:p>
          <w:p w:rsidR="00B95EB1" w:rsidRPr="00231455" w:rsidRDefault="00B95EB1" w:rsidP="00A87583">
            <w:pPr>
              <w:numPr>
                <w:ilvl w:val="0"/>
                <w:numId w:val="2"/>
              </w:numPr>
              <w:tabs>
                <w:tab w:val="left" w:pos="3960"/>
              </w:tabs>
              <w:spacing w:after="0" w:line="240" w:lineRule="auto"/>
              <w:jc w:val="both"/>
              <w:rPr>
                <w:rFonts w:ascii="Times New Roman" w:hAnsi="Times New Roman" w:cs="Times New Roman"/>
                <w:sz w:val="26"/>
                <w:szCs w:val="26"/>
              </w:rPr>
            </w:pPr>
            <w:r w:rsidRPr="00231455">
              <w:rPr>
                <w:rFonts w:ascii="Times New Roman" w:hAnsi="Times New Roman" w:cs="Times New Roman"/>
                <w:sz w:val="26"/>
                <w:szCs w:val="26"/>
              </w:rPr>
              <w:t>impozit pe profit</w:t>
            </w:r>
          </w:p>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c) bugetul asigurărilor sociale de stat:</w:t>
            </w:r>
          </w:p>
          <w:p w:rsidR="00B95EB1" w:rsidRPr="00231455" w:rsidRDefault="00B95EB1" w:rsidP="00A87583">
            <w:pPr>
              <w:numPr>
                <w:ilvl w:val="0"/>
                <w:numId w:val="3"/>
              </w:numPr>
              <w:tabs>
                <w:tab w:val="left" w:pos="3960"/>
              </w:tabs>
              <w:spacing w:after="0" w:line="240" w:lineRule="auto"/>
              <w:jc w:val="both"/>
              <w:rPr>
                <w:rFonts w:ascii="Times New Roman" w:hAnsi="Times New Roman" w:cs="Times New Roman"/>
                <w:sz w:val="26"/>
                <w:szCs w:val="26"/>
              </w:rPr>
            </w:pPr>
            <w:r w:rsidRPr="00231455">
              <w:rPr>
                <w:rFonts w:ascii="Times New Roman" w:hAnsi="Times New Roman" w:cs="Times New Roman"/>
                <w:sz w:val="26"/>
                <w:szCs w:val="26"/>
              </w:rPr>
              <w:t>contribuţii de asigurări</w:t>
            </w:r>
          </w:p>
        </w:tc>
        <w:tc>
          <w:tcPr>
            <w:tcW w:w="1269" w:type="dxa"/>
            <w:gridSpan w:val="2"/>
          </w:tcPr>
          <w:p w:rsidR="00B95EB1" w:rsidRPr="00231455" w:rsidRDefault="00B95EB1" w:rsidP="00A87583">
            <w:pPr>
              <w:tabs>
                <w:tab w:val="left" w:pos="3960"/>
              </w:tabs>
              <w:spacing w:after="0"/>
              <w:rPr>
                <w:rFonts w:ascii="Times New Roman" w:hAnsi="Times New Roman" w:cs="Times New Roman"/>
                <w:sz w:val="26"/>
                <w:szCs w:val="26"/>
              </w:rPr>
            </w:pPr>
          </w:p>
        </w:tc>
        <w:tc>
          <w:tcPr>
            <w:tcW w:w="540" w:type="dxa"/>
          </w:tcPr>
          <w:p w:rsidR="00B95EB1" w:rsidRPr="00231455" w:rsidRDefault="00B95EB1" w:rsidP="00A87583">
            <w:pPr>
              <w:tabs>
                <w:tab w:val="left" w:pos="720"/>
                <w:tab w:val="left" w:pos="3960"/>
                <w:tab w:val="center" w:pos="4153"/>
                <w:tab w:val="right" w:pos="8306"/>
              </w:tabs>
              <w:spacing w:after="0"/>
              <w:rPr>
                <w:rFonts w:ascii="Times New Roman" w:hAnsi="Times New Roman" w:cs="Times New Roman"/>
                <w:sz w:val="26"/>
                <w:szCs w:val="26"/>
              </w:rPr>
            </w:pPr>
          </w:p>
        </w:tc>
        <w:tc>
          <w:tcPr>
            <w:tcW w:w="667" w:type="dxa"/>
          </w:tcPr>
          <w:p w:rsidR="00B95EB1" w:rsidRPr="00231455" w:rsidRDefault="00B95EB1" w:rsidP="00A87583">
            <w:pPr>
              <w:tabs>
                <w:tab w:val="left" w:pos="3960"/>
              </w:tabs>
              <w:spacing w:after="0"/>
              <w:rPr>
                <w:rFonts w:ascii="Times New Roman" w:hAnsi="Times New Roman" w:cs="Times New Roman"/>
                <w:sz w:val="26"/>
                <w:szCs w:val="26"/>
              </w:rPr>
            </w:pPr>
          </w:p>
        </w:tc>
        <w:tc>
          <w:tcPr>
            <w:tcW w:w="593" w:type="dxa"/>
          </w:tcPr>
          <w:p w:rsidR="00B95EB1" w:rsidRPr="00231455" w:rsidRDefault="00B95EB1" w:rsidP="00A87583">
            <w:pPr>
              <w:tabs>
                <w:tab w:val="left" w:pos="3960"/>
              </w:tabs>
              <w:spacing w:after="0"/>
              <w:rPr>
                <w:rFonts w:ascii="Times New Roman" w:hAnsi="Times New Roman" w:cs="Times New Roman"/>
                <w:sz w:val="26"/>
                <w:szCs w:val="26"/>
              </w:rPr>
            </w:pPr>
          </w:p>
        </w:tc>
        <w:tc>
          <w:tcPr>
            <w:tcW w:w="540" w:type="dxa"/>
          </w:tcPr>
          <w:p w:rsidR="00B95EB1" w:rsidRPr="00231455" w:rsidRDefault="00B95EB1" w:rsidP="00A87583">
            <w:pPr>
              <w:tabs>
                <w:tab w:val="left" w:pos="3960"/>
              </w:tabs>
              <w:spacing w:after="0"/>
              <w:rPr>
                <w:rFonts w:ascii="Times New Roman" w:hAnsi="Times New Roman" w:cs="Times New Roman"/>
                <w:sz w:val="26"/>
                <w:szCs w:val="26"/>
              </w:rPr>
            </w:pPr>
          </w:p>
        </w:tc>
        <w:tc>
          <w:tcPr>
            <w:tcW w:w="1800" w:type="dxa"/>
          </w:tcPr>
          <w:p w:rsidR="00B95EB1" w:rsidRPr="00231455" w:rsidRDefault="00B95EB1" w:rsidP="00A87583">
            <w:pPr>
              <w:tabs>
                <w:tab w:val="left" w:pos="3960"/>
              </w:tabs>
              <w:spacing w:after="0"/>
              <w:rPr>
                <w:rFonts w:ascii="Times New Roman" w:hAnsi="Times New Roman" w:cs="Times New Roman"/>
                <w:sz w:val="26"/>
                <w:szCs w:val="26"/>
              </w:rPr>
            </w:pPr>
          </w:p>
        </w:tc>
      </w:tr>
      <w:tr w:rsidR="00B95EB1" w:rsidRPr="00231455" w:rsidTr="00D95F14">
        <w:trPr>
          <w:trHeight w:val="530"/>
        </w:trPr>
        <w:tc>
          <w:tcPr>
            <w:tcW w:w="4525" w:type="dxa"/>
            <w:gridSpan w:val="2"/>
          </w:tcPr>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 xml:space="preserve">2. Modificări ale cheltuielilor bugetare, </w:t>
            </w:r>
          </w:p>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plus/minus, din care:</w:t>
            </w:r>
          </w:p>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a) buget de stat, din acesta:</w:t>
            </w:r>
          </w:p>
          <w:p w:rsidR="00B95EB1" w:rsidRPr="00231455" w:rsidRDefault="00B95EB1" w:rsidP="00A87583">
            <w:pPr>
              <w:numPr>
                <w:ilvl w:val="0"/>
                <w:numId w:val="4"/>
              </w:numPr>
              <w:tabs>
                <w:tab w:val="left" w:pos="3960"/>
              </w:tabs>
              <w:spacing w:after="0" w:line="240" w:lineRule="auto"/>
              <w:jc w:val="both"/>
              <w:rPr>
                <w:rFonts w:ascii="Times New Roman" w:hAnsi="Times New Roman" w:cs="Times New Roman"/>
                <w:sz w:val="26"/>
                <w:szCs w:val="26"/>
              </w:rPr>
            </w:pPr>
            <w:r w:rsidRPr="00231455">
              <w:rPr>
                <w:rFonts w:ascii="Times New Roman" w:hAnsi="Times New Roman" w:cs="Times New Roman"/>
                <w:sz w:val="26"/>
                <w:szCs w:val="26"/>
              </w:rPr>
              <w:t>cheltuieli de personal</w:t>
            </w:r>
          </w:p>
          <w:p w:rsidR="00B95EB1" w:rsidRPr="00231455" w:rsidRDefault="00B95EB1" w:rsidP="00A87583">
            <w:pPr>
              <w:numPr>
                <w:ilvl w:val="0"/>
                <w:numId w:val="4"/>
              </w:numPr>
              <w:tabs>
                <w:tab w:val="left" w:pos="3960"/>
              </w:tabs>
              <w:spacing w:after="0" w:line="240" w:lineRule="auto"/>
              <w:jc w:val="both"/>
              <w:rPr>
                <w:rFonts w:ascii="Times New Roman" w:hAnsi="Times New Roman" w:cs="Times New Roman"/>
                <w:sz w:val="26"/>
                <w:szCs w:val="26"/>
              </w:rPr>
            </w:pPr>
            <w:r w:rsidRPr="00231455">
              <w:rPr>
                <w:rFonts w:ascii="Times New Roman" w:hAnsi="Times New Roman" w:cs="Times New Roman"/>
                <w:sz w:val="26"/>
                <w:szCs w:val="26"/>
              </w:rPr>
              <w:t>bunuri şi servicii</w:t>
            </w:r>
          </w:p>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b) bugete locale:</w:t>
            </w:r>
          </w:p>
          <w:p w:rsidR="00B95EB1" w:rsidRPr="00231455" w:rsidRDefault="00B95EB1" w:rsidP="00A87583">
            <w:pPr>
              <w:numPr>
                <w:ilvl w:val="0"/>
                <w:numId w:val="5"/>
              </w:numPr>
              <w:tabs>
                <w:tab w:val="left" w:pos="3960"/>
              </w:tabs>
              <w:spacing w:after="0" w:line="240" w:lineRule="auto"/>
              <w:jc w:val="both"/>
              <w:rPr>
                <w:rFonts w:ascii="Times New Roman" w:hAnsi="Times New Roman" w:cs="Times New Roman"/>
                <w:sz w:val="26"/>
                <w:szCs w:val="26"/>
              </w:rPr>
            </w:pPr>
            <w:r w:rsidRPr="00231455">
              <w:rPr>
                <w:rFonts w:ascii="Times New Roman" w:hAnsi="Times New Roman" w:cs="Times New Roman"/>
                <w:sz w:val="26"/>
                <w:szCs w:val="26"/>
              </w:rPr>
              <w:t>cheltuieli de personal</w:t>
            </w:r>
          </w:p>
          <w:p w:rsidR="00B95EB1" w:rsidRPr="00231455" w:rsidRDefault="00B95EB1" w:rsidP="00A87583">
            <w:pPr>
              <w:numPr>
                <w:ilvl w:val="0"/>
                <w:numId w:val="5"/>
              </w:numPr>
              <w:tabs>
                <w:tab w:val="left" w:pos="3960"/>
              </w:tabs>
              <w:spacing w:after="0" w:line="240" w:lineRule="auto"/>
              <w:jc w:val="both"/>
              <w:rPr>
                <w:rFonts w:ascii="Times New Roman" w:hAnsi="Times New Roman" w:cs="Times New Roman"/>
                <w:sz w:val="26"/>
                <w:szCs w:val="26"/>
              </w:rPr>
            </w:pPr>
            <w:r w:rsidRPr="00231455">
              <w:rPr>
                <w:rFonts w:ascii="Times New Roman" w:hAnsi="Times New Roman" w:cs="Times New Roman"/>
                <w:sz w:val="26"/>
                <w:szCs w:val="26"/>
              </w:rPr>
              <w:t>bunuri şi servicii</w:t>
            </w:r>
          </w:p>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c) bugetul asigurărilor sociale de stat:</w:t>
            </w:r>
          </w:p>
          <w:p w:rsidR="00B95EB1" w:rsidRPr="00231455" w:rsidRDefault="00B95EB1" w:rsidP="00A87583">
            <w:pPr>
              <w:numPr>
                <w:ilvl w:val="0"/>
                <w:numId w:val="6"/>
              </w:numPr>
              <w:tabs>
                <w:tab w:val="left" w:pos="3960"/>
              </w:tabs>
              <w:spacing w:after="0" w:line="240" w:lineRule="auto"/>
              <w:jc w:val="both"/>
              <w:rPr>
                <w:rFonts w:ascii="Times New Roman" w:hAnsi="Times New Roman" w:cs="Times New Roman"/>
                <w:sz w:val="26"/>
                <w:szCs w:val="26"/>
              </w:rPr>
            </w:pPr>
            <w:r w:rsidRPr="00231455">
              <w:rPr>
                <w:rFonts w:ascii="Times New Roman" w:hAnsi="Times New Roman" w:cs="Times New Roman"/>
                <w:sz w:val="26"/>
                <w:szCs w:val="26"/>
              </w:rPr>
              <w:t>cheltuieli de personal</w:t>
            </w:r>
          </w:p>
          <w:p w:rsidR="00B95EB1" w:rsidRPr="00231455" w:rsidRDefault="00B95EB1" w:rsidP="00A87583">
            <w:pPr>
              <w:numPr>
                <w:ilvl w:val="0"/>
                <w:numId w:val="6"/>
              </w:numPr>
              <w:tabs>
                <w:tab w:val="left" w:pos="3960"/>
              </w:tabs>
              <w:spacing w:after="0" w:line="240" w:lineRule="auto"/>
              <w:jc w:val="both"/>
              <w:rPr>
                <w:rFonts w:ascii="Times New Roman" w:hAnsi="Times New Roman" w:cs="Times New Roman"/>
                <w:sz w:val="26"/>
                <w:szCs w:val="26"/>
              </w:rPr>
            </w:pPr>
            <w:r w:rsidRPr="00231455">
              <w:rPr>
                <w:rFonts w:ascii="Times New Roman" w:hAnsi="Times New Roman" w:cs="Times New Roman"/>
                <w:sz w:val="26"/>
                <w:szCs w:val="26"/>
              </w:rPr>
              <w:t xml:space="preserve">bunuri şi servicii </w:t>
            </w:r>
          </w:p>
        </w:tc>
        <w:tc>
          <w:tcPr>
            <w:tcW w:w="1269" w:type="dxa"/>
            <w:gridSpan w:val="2"/>
          </w:tcPr>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rsidP="00D636C7">
            <w:pPr>
              <w:tabs>
                <w:tab w:val="left" w:pos="3960"/>
              </w:tabs>
              <w:spacing w:after="0" w:line="240" w:lineRule="auto"/>
              <w:ind w:left="360"/>
              <w:jc w:val="both"/>
              <w:rPr>
                <w:rFonts w:ascii="Times New Roman" w:hAnsi="Times New Roman" w:cs="Times New Roman"/>
                <w:sz w:val="26"/>
                <w:szCs w:val="26"/>
              </w:rPr>
            </w:pPr>
          </w:p>
        </w:tc>
        <w:tc>
          <w:tcPr>
            <w:tcW w:w="540" w:type="dxa"/>
          </w:tcPr>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rsidP="00D636C7">
            <w:pPr>
              <w:tabs>
                <w:tab w:val="left" w:pos="3960"/>
              </w:tabs>
              <w:spacing w:after="0" w:line="240" w:lineRule="auto"/>
              <w:ind w:left="360"/>
              <w:jc w:val="both"/>
              <w:rPr>
                <w:rFonts w:ascii="Times New Roman" w:hAnsi="Times New Roman" w:cs="Times New Roman"/>
                <w:sz w:val="26"/>
                <w:szCs w:val="26"/>
              </w:rPr>
            </w:pPr>
          </w:p>
        </w:tc>
        <w:tc>
          <w:tcPr>
            <w:tcW w:w="667" w:type="dxa"/>
          </w:tcPr>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rsidP="00D636C7">
            <w:pPr>
              <w:tabs>
                <w:tab w:val="left" w:pos="3960"/>
              </w:tabs>
              <w:spacing w:after="0" w:line="240" w:lineRule="auto"/>
              <w:ind w:left="180"/>
              <w:jc w:val="both"/>
              <w:rPr>
                <w:rFonts w:ascii="Times New Roman" w:hAnsi="Times New Roman" w:cs="Times New Roman"/>
                <w:sz w:val="26"/>
                <w:szCs w:val="26"/>
              </w:rPr>
            </w:pPr>
          </w:p>
        </w:tc>
        <w:tc>
          <w:tcPr>
            <w:tcW w:w="593" w:type="dxa"/>
          </w:tcPr>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rsidP="00D636C7">
            <w:pPr>
              <w:tabs>
                <w:tab w:val="left" w:pos="3960"/>
              </w:tabs>
              <w:spacing w:after="0" w:line="240" w:lineRule="auto"/>
              <w:ind w:left="180"/>
              <w:jc w:val="both"/>
              <w:rPr>
                <w:rFonts w:ascii="Times New Roman" w:hAnsi="Times New Roman" w:cs="Times New Roman"/>
                <w:sz w:val="26"/>
                <w:szCs w:val="26"/>
              </w:rPr>
            </w:pPr>
          </w:p>
        </w:tc>
        <w:tc>
          <w:tcPr>
            <w:tcW w:w="540" w:type="dxa"/>
          </w:tcPr>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rsidP="00D636C7">
            <w:pPr>
              <w:tabs>
                <w:tab w:val="left" w:pos="3960"/>
              </w:tabs>
              <w:spacing w:after="0" w:line="240" w:lineRule="auto"/>
              <w:ind w:left="180"/>
              <w:jc w:val="both"/>
              <w:rPr>
                <w:rFonts w:ascii="Times New Roman" w:hAnsi="Times New Roman" w:cs="Times New Roman"/>
                <w:sz w:val="26"/>
                <w:szCs w:val="26"/>
              </w:rPr>
            </w:pPr>
          </w:p>
        </w:tc>
        <w:tc>
          <w:tcPr>
            <w:tcW w:w="1800" w:type="dxa"/>
          </w:tcPr>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pPr>
              <w:spacing w:after="0" w:line="240" w:lineRule="auto"/>
              <w:rPr>
                <w:rFonts w:ascii="Times New Roman" w:hAnsi="Times New Roman" w:cs="Times New Roman"/>
                <w:sz w:val="26"/>
                <w:szCs w:val="26"/>
              </w:rPr>
            </w:pPr>
          </w:p>
          <w:p w:rsidR="00B95EB1" w:rsidRPr="00231455" w:rsidRDefault="00B95EB1" w:rsidP="00D636C7">
            <w:pPr>
              <w:tabs>
                <w:tab w:val="left" w:pos="3960"/>
              </w:tabs>
              <w:spacing w:after="0" w:line="240" w:lineRule="auto"/>
              <w:ind w:left="180"/>
              <w:jc w:val="both"/>
              <w:rPr>
                <w:rFonts w:ascii="Times New Roman" w:hAnsi="Times New Roman" w:cs="Times New Roman"/>
                <w:sz w:val="26"/>
                <w:szCs w:val="26"/>
              </w:rPr>
            </w:pPr>
          </w:p>
        </w:tc>
      </w:tr>
      <w:tr w:rsidR="00B95EB1" w:rsidRPr="00231455" w:rsidTr="00D95F14">
        <w:tc>
          <w:tcPr>
            <w:tcW w:w="4525" w:type="dxa"/>
            <w:gridSpan w:val="2"/>
          </w:tcPr>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3. Impact financiar, plus/minus, din care:</w:t>
            </w:r>
          </w:p>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a)</w:t>
            </w:r>
            <w:r w:rsidRPr="00231455">
              <w:rPr>
                <w:rFonts w:ascii="Times New Roman" w:hAnsi="Times New Roman" w:cs="Times New Roman"/>
                <w:sz w:val="26"/>
                <w:szCs w:val="26"/>
                <w:vertAlign w:val="superscript"/>
              </w:rPr>
              <w:t xml:space="preserve"> </w:t>
            </w:r>
            <w:r w:rsidRPr="00231455">
              <w:rPr>
                <w:rFonts w:ascii="Times New Roman" w:hAnsi="Times New Roman" w:cs="Times New Roman"/>
                <w:sz w:val="26"/>
                <w:szCs w:val="26"/>
              </w:rPr>
              <w:t>buget de stat</w:t>
            </w:r>
          </w:p>
          <w:p w:rsidR="00B95EB1" w:rsidRPr="00231455" w:rsidRDefault="00B95EB1" w:rsidP="00A87583">
            <w:pPr>
              <w:tabs>
                <w:tab w:val="left" w:pos="3960"/>
              </w:tabs>
              <w:spacing w:after="0"/>
              <w:rPr>
                <w:rFonts w:ascii="Times New Roman" w:hAnsi="Times New Roman" w:cs="Times New Roman"/>
                <w:sz w:val="26"/>
                <w:szCs w:val="26"/>
              </w:rPr>
            </w:pPr>
            <w:r w:rsidRPr="00231455">
              <w:rPr>
                <w:rFonts w:ascii="Times New Roman" w:hAnsi="Times New Roman" w:cs="Times New Roman"/>
                <w:sz w:val="26"/>
                <w:szCs w:val="26"/>
              </w:rPr>
              <w:t>b) bugete locale</w:t>
            </w:r>
          </w:p>
        </w:tc>
        <w:tc>
          <w:tcPr>
            <w:tcW w:w="1269" w:type="dxa"/>
            <w:gridSpan w:val="2"/>
          </w:tcPr>
          <w:p w:rsidR="00B95EB1" w:rsidRPr="00231455" w:rsidRDefault="00B95EB1" w:rsidP="00A87583">
            <w:pPr>
              <w:tabs>
                <w:tab w:val="left" w:pos="3960"/>
              </w:tabs>
              <w:spacing w:after="0"/>
              <w:rPr>
                <w:rFonts w:ascii="Times New Roman" w:hAnsi="Times New Roman" w:cs="Times New Roman"/>
                <w:sz w:val="26"/>
                <w:szCs w:val="26"/>
              </w:rPr>
            </w:pPr>
          </w:p>
        </w:tc>
        <w:tc>
          <w:tcPr>
            <w:tcW w:w="540" w:type="dxa"/>
          </w:tcPr>
          <w:p w:rsidR="00B95EB1" w:rsidRPr="00231455" w:rsidRDefault="00B95EB1" w:rsidP="00A87583">
            <w:pPr>
              <w:tabs>
                <w:tab w:val="left" w:pos="3960"/>
              </w:tabs>
              <w:spacing w:after="0"/>
              <w:rPr>
                <w:rFonts w:ascii="Times New Roman" w:hAnsi="Times New Roman" w:cs="Times New Roman"/>
                <w:sz w:val="26"/>
                <w:szCs w:val="26"/>
              </w:rPr>
            </w:pPr>
          </w:p>
        </w:tc>
        <w:tc>
          <w:tcPr>
            <w:tcW w:w="667" w:type="dxa"/>
          </w:tcPr>
          <w:p w:rsidR="00B95EB1" w:rsidRPr="00231455" w:rsidRDefault="00B95EB1" w:rsidP="00A87583">
            <w:pPr>
              <w:tabs>
                <w:tab w:val="left" w:pos="3960"/>
              </w:tabs>
              <w:spacing w:after="0"/>
              <w:rPr>
                <w:rFonts w:ascii="Times New Roman" w:hAnsi="Times New Roman" w:cs="Times New Roman"/>
                <w:sz w:val="26"/>
                <w:szCs w:val="26"/>
              </w:rPr>
            </w:pPr>
          </w:p>
        </w:tc>
        <w:tc>
          <w:tcPr>
            <w:tcW w:w="593" w:type="dxa"/>
          </w:tcPr>
          <w:p w:rsidR="00B95EB1" w:rsidRPr="00231455" w:rsidRDefault="00B95EB1" w:rsidP="00A87583">
            <w:pPr>
              <w:tabs>
                <w:tab w:val="left" w:pos="3960"/>
              </w:tabs>
              <w:spacing w:after="0"/>
              <w:rPr>
                <w:rFonts w:ascii="Times New Roman" w:hAnsi="Times New Roman" w:cs="Times New Roman"/>
                <w:sz w:val="26"/>
                <w:szCs w:val="26"/>
              </w:rPr>
            </w:pPr>
          </w:p>
        </w:tc>
        <w:tc>
          <w:tcPr>
            <w:tcW w:w="540" w:type="dxa"/>
          </w:tcPr>
          <w:p w:rsidR="00B95EB1" w:rsidRPr="00231455" w:rsidRDefault="00B95EB1" w:rsidP="00A87583">
            <w:pPr>
              <w:tabs>
                <w:tab w:val="left" w:pos="3960"/>
              </w:tabs>
              <w:spacing w:after="0"/>
              <w:rPr>
                <w:rFonts w:ascii="Times New Roman" w:hAnsi="Times New Roman" w:cs="Times New Roman"/>
                <w:sz w:val="26"/>
                <w:szCs w:val="26"/>
              </w:rPr>
            </w:pPr>
          </w:p>
        </w:tc>
        <w:tc>
          <w:tcPr>
            <w:tcW w:w="1800" w:type="dxa"/>
          </w:tcPr>
          <w:p w:rsidR="00B95EB1" w:rsidRPr="00231455" w:rsidRDefault="00B95EB1" w:rsidP="00A87583">
            <w:pPr>
              <w:tabs>
                <w:tab w:val="left" w:pos="3960"/>
              </w:tabs>
              <w:spacing w:after="0"/>
              <w:rPr>
                <w:rFonts w:ascii="Times New Roman" w:hAnsi="Times New Roman" w:cs="Times New Roman"/>
                <w:sz w:val="26"/>
                <w:szCs w:val="26"/>
              </w:rPr>
            </w:pPr>
          </w:p>
        </w:tc>
      </w:tr>
      <w:tr w:rsidR="00B95EB1" w:rsidRPr="00231455" w:rsidTr="00D95F14">
        <w:tc>
          <w:tcPr>
            <w:tcW w:w="4525" w:type="dxa"/>
            <w:gridSpan w:val="2"/>
          </w:tcPr>
          <w:p w:rsidR="00B95EB1" w:rsidRPr="00231455" w:rsidRDefault="00B95EB1" w:rsidP="00A87583">
            <w:pPr>
              <w:tabs>
                <w:tab w:val="left" w:pos="3960"/>
              </w:tabs>
              <w:spacing w:after="0"/>
              <w:rPr>
                <w:rFonts w:ascii="Times New Roman" w:hAnsi="Times New Roman" w:cs="Times New Roman"/>
                <w:sz w:val="26"/>
                <w:szCs w:val="26"/>
              </w:rPr>
            </w:pPr>
            <w:r w:rsidRPr="00231455">
              <w:rPr>
                <w:rFonts w:ascii="Times New Roman" w:hAnsi="Times New Roman" w:cs="Times New Roman"/>
                <w:sz w:val="26"/>
                <w:szCs w:val="26"/>
              </w:rPr>
              <w:t>4. Propuneri pentru acoperirea creşterii cheltuielilor bugetare</w:t>
            </w:r>
          </w:p>
        </w:tc>
        <w:tc>
          <w:tcPr>
            <w:tcW w:w="1269" w:type="dxa"/>
            <w:gridSpan w:val="2"/>
          </w:tcPr>
          <w:p w:rsidR="00B95EB1" w:rsidRPr="00231455" w:rsidRDefault="00B95EB1" w:rsidP="00A87583">
            <w:pPr>
              <w:tabs>
                <w:tab w:val="left" w:pos="3960"/>
              </w:tabs>
              <w:spacing w:after="0"/>
              <w:rPr>
                <w:rFonts w:ascii="Times New Roman" w:hAnsi="Times New Roman" w:cs="Times New Roman"/>
                <w:sz w:val="26"/>
                <w:szCs w:val="26"/>
              </w:rPr>
            </w:pPr>
          </w:p>
        </w:tc>
        <w:tc>
          <w:tcPr>
            <w:tcW w:w="540" w:type="dxa"/>
          </w:tcPr>
          <w:p w:rsidR="00B95EB1" w:rsidRPr="00231455" w:rsidRDefault="00B95EB1" w:rsidP="00A87583">
            <w:pPr>
              <w:tabs>
                <w:tab w:val="left" w:pos="3960"/>
              </w:tabs>
              <w:spacing w:after="0"/>
              <w:rPr>
                <w:rFonts w:ascii="Times New Roman" w:hAnsi="Times New Roman" w:cs="Times New Roman"/>
                <w:sz w:val="26"/>
                <w:szCs w:val="26"/>
              </w:rPr>
            </w:pPr>
          </w:p>
        </w:tc>
        <w:tc>
          <w:tcPr>
            <w:tcW w:w="667" w:type="dxa"/>
          </w:tcPr>
          <w:p w:rsidR="00B95EB1" w:rsidRPr="00231455" w:rsidRDefault="00B95EB1" w:rsidP="00A87583">
            <w:pPr>
              <w:tabs>
                <w:tab w:val="left" w:pos="3960"/>
              </w:tabs>
              <w:spacing w:after="0"/>
              <w:rPr>
                <w:rFonts w:ascii="Times New Roman" w:hAnsi="Times New Roman" w:cs="Times New Roman"/>
                <w:sz w:val="26"/>
                <w:szCs w:val="26"/>
              </w:rPr>
            </w:pPr>
          </w:p>
        </w:tc>
        <w:tc>
          <w:tcPr>
            <w:tcW w:w="593" w:type="dxa"/>
          </w:tcPr>
          <w:p w:rsidR="00B95EB1" w:rsidRPr="00231455" w:rsidRDefault="00B95EB1" w:rsidP="00A87583">
            <w:pPr>
              <w:tabs>
                <w:tab w:val="left" w:pos="3960"/>
              </w:tabs>
              <w:spacing w:after="0"/>
              <w:rPr>
                <w:rFonts w:ascii="Times New Roman" w:hAnsi="Times New Roman" w:cs="Times New Roman"/>
                <w:sz w:val="26"/>
                <w:szCs w:val="26"/>
              </w:rPr>
            </w:pPr>
          </w:p>
        </w:tc>
        <w:tc>
          <w:tcPr>
            <w:tcW w:w="540" w:type="dxa"/>
          </w:tcPr>
          <w:p w:rsidR="00B95EB1" w:rsidRPr="00231455" w:rsidRDefault="00B95EB1" w:rsidP="00A87583">
            <w:pPr>
              <w:tabs>
                <w:tab w:val="left" w:pos="3960"/>
              </w:tabs>
              <w:spacing w:after="0"/>
              <w:rPr>
                <w:rFonts w:ascii="Times New Roman" w:hAnsi="Times New Roman" w:cs="Times New Roman"/>
                <w:sz w:val="26"/>
                <w:szCs w:val="26"/>
              </w:rPr>
            </w:pPr>
          </w:p>
        </w:tc>
        <w:tc>
          <w:tcPr>
            <w:tcW w:w="1800" w:type="dxa"/>
          </w:tcPr>
          <w:p w:rsidR="00B95EB1" w:rsidRPr="00231455" w:rsidRDefault="00B95EB1" w:rsidP="00A87583">
            <w:pPr>
              <w:tabs>
                <w:tab w:val="left" w:pos="3960"/>
              </w:tabs>
              <w:spacing w:after="0"/>
              <w:rPr>
                <w:rFonts w:ascii="Times New Roman" w:hAnsi="Times New Roman" w:cs="Times New Roman"/>
                <w:sz w:val="26"/>
                <w:szCs w:val="26"/>
              </w:rPr>
            </w:pPr>
          </w:p>
        </w:tc>
      </w:tr>
      <w:tr w:rsidR="00B95EB1" w:rsidRPr="00231455" w:rsidTr="00D95F14">
        <w:tc>
          <w:tcPr>
            <w:tcW w:w="4525" w:type="dxa"/>
            <w:gridSpan w:val="2"/>
          </w:tcPr>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5. Propuneri pentru a compensa reducerea veniturilor bugetare</w:t>
            </w:r>
          </w:p>
        </w:tc>
        <w:tc>
          <w:tcPr>
            <w:tcW w:w="1269" w:type="dxa"/>
            <w:gridSpan w:val="2"/>
          </w:tcPr>
          <w:p w:rsidR="00B95EB1" w:rsidRPr="00231455" w:rsidRDefault="00B95EB1" w:rsidP="00A87583">
            <w:pPr>
              <w:tabs>
                <w:tab w:val="left" w:pos="3960"/>
              </w:tabs>
              <w:spacing w:after="0"/>
              <w:rPr>
                <w:rFonts w:ascii="Times New Roman" w:hAnsi="Times New Roman" w:cs="Times New Roman"/>
                <w:sz w:val="26"/>
                <w:szCs w:val="26"/>
              </w:rPr>
            </w:pPr>
          </w:p>
        </w:tc>
        <w:tc>
          <w:tcPr>
            <w:tcW w:w="540" w:type="dxa"/>
          </w:tcPr>
          <w:p w:rsidR="00B95EB1" w:rsidRPr="00231455" w:rsidRDefault="00B95EB1" w:rsidP="00A87583">
            <w:pPr>
              <w:tabs>
                <w:tab w:val="left" w:pos="3960"/>
              </w:tabs>
              <w:spacing w:after="0"/>
              <w:rPr>
                <w:rFonts w:ascii="Times New Roman" w:hAnsi="Times New Roman" w:cs="Times New Roman"/>
                <w:sz w:val="26"/>
                <w:szCs w:val="26"/>
              </w:rPr>
            </w:pPr>
          </w:p>
        </w:tc>
        <w:tc>
          <w:tcPr>
            <w:tcW w:w="667" w:type="dxa"/>
          </w:tcPr>
          <w:p w:rsidR="00B95EB1" w:rsidRPr="00231455" w:rsidRDefault="00B95EB1" w:rsidP="00A87583">
            <w:pPr>
              <w:tabs>
                <w:tab w:val="left" w:pos="3960"/>
              </w:tabs>
              <w:spacing w:after="0"/>
              <w:rPr>
                <w:rFonts w:ascii="Times New Roman" w:hAnsi="Times New Roman" w:cs="Times New Roman"/>
                <w:sz w:val="26"/>
                <w:szCs w:val="26"/>
              </w:rPr>
            </w:pPr>
          </w:p>
        </w:tc>
        <w:tc>
          <w:tcPr>
            <w:tcW w:w="593" w:type="dxa"/>
          </w:tcPr>
          <w:p w:rsidR="00B95EB1" w:rsidRPr="00231455" w:rsidRDefault="00B95EB1" w:rsidP="00A87583">
            <w:pPr>
              <w:tabs>
                <w:tab w:val="left" w:pos="3960"/>
              </w:tabs>
              <w:spacing w:after="0"/>
              <w:rPr>
                <w:rFonts w:ascii="Times New Roman" w:hAnsi="Times New Roman" w:cs="Times New Roman"/>
                <w:sz w:val="26"/>
                <w:szCs w:val="26"/>
              </w:rPr>
            </w:pPr>
          </w:p>
        </w:tc>
        <w:tc>
          <w:tcPr>
            <w:tcW w:w="540" w:type="dxa"/>
          </w:tcPr>
          <w:p w:rsidR="00B95EB1" w:rsidRPr="00231455" w:rsidRDefault="00B95EB1" w:rsidP="00A87583">
            <w:pPr>
              <w:tabs>
                <w:tab w:val="left" w:pos="3960"/>
              </w:tabs>
              <w:spacing w:after="0"/>
              <w:rPr>
                <w:rFonts w:ascii="Times New Roman" w:hAnsi="Times New Roman" w:cs="Times New Roman"/>
                <w:sz w:val="26"/>
                <w:szCs w:val="26"/>
              </w:rPr>
            </w:pPr>
          </w:p>
        </w:tc>
        <w:tc>
          <w:tcPr>
            <w:tcW w:w="1800" w:type="dxa"/>
          </w:tcPr>
          <w:p w:rsidR="00B95EB1" w:rsidRPr="00231455" w:rsidRDefault="00B95EB1" w:rsidP="00A87583">
            <w:pPr>
              <w:tabs>
                <w:tab w:val="left" w:pos="3960"/>
              </w:tabs>
              <w:spacing w:after="0"/>
              <w:rPr>
                <w:rFonts w:ascii="Times New Roman" w:hAnsi="Times New Roman" w:cs="Times New Roman"/>
                <w:sz w:val="26"/>
                <w:szCs w:val="26"/>
              </w:rPr>
            </w:pPr>
          </w:p>
        </w:tc>
      </w:tr>
      <w:tr w:rsidR="00B95EB1" w:rsidRPr="00231455" w:rsidTr="00D95F14">
        <w:tc>
          <w:tcPr>
            <w:tcW w:w="4525" w:type="dxa"/>
            <w:gridSpan w:val="2"/>
          </w:tcPr>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sz w:val="26"/>
                <w:szCs w:val="26"/>
              </w:rPr>
              <w:t>6. Calcule detaliate privind fundamentarea modificărilor veniturilor şi/sau cheltuielilor bugetare</w:t>
            </w:r>
          </w:p>
        </w:tc>
        <w:tc>
          <w:tcPr>
            <w:tcW w:w="1269" w:type="dxa"/>
            <w:gridSpan w:val="2"/>
          </w:tcPr>
          <w:p w:rsidR="00B95EB1" w:rsidRPr="00231455" w:rsidRDefault="00B95EB1" w:rsidP="00A87583">
            <w:pPr>
              <w:tabs>
                <w:tab w:val="left" w:pos="3960"/>
              </w:tabs>
              <w:spacing w:after="0"/>
              <w:rPr>
                <w:rFonts w:ascii="Times New Roman" w:hAnsi="Times New Roman" w:cs="Times New Roman"/>
                <w:sz w:val="26"/>
                <w:szCs w:val="26"/>
              </w:rPr>
            </w:pPr>
          </w:p>
        </w:tc>
        <w:tc>
          <w:tcPr>
            <w:tcW w:w="540" w:type="dxa"/>
          </w:tcPr>
          <w:p w:rsidR="00B95EB1" w:rsidRPr="00231455" w:rsidRDefault="00B95EB1" w:rsidP="00A87583">
            <w:pPr>
              <w:tabs>
                <w:tab w:val="left" w:pos="3960"/>
              </w:tabs>
              <w:spacing w:after="0"/>
              <w:rPr>
                <w:rFonts w:ascii="Times New Roman" w:hAnsi="Times New Roman" w:cs="Times New Roman"/>
                <w:sz w:val="26"/>
                <w:szCs w:val="26"/>
              </w:rPr>
            </w:pPr>
          </w:p>
        </w:tc>
        <w:tc>
          <w:tcPr>
            <w:tcW w:w="667" w:type="dxa"/>
          </w:tcPr>
          <w:p w:rsidR="00B95EB1" w:rsidRPr="00231455" w:rsidRDefault="00B95EB1" w:rsidP="00A87583">
            <w:pPr>
              <w:tabs>
                <w:tab w:val="left" w:pos="3960"/>
              </w:tabs>
              <w:spacing w:after="0"/>
              <w:rPr>
                <w:rFonts w:ascii="Times New Roman" w:hAnsi="Times New Roman" w:cs="Times New Roman"/>
                <w:sz w:val="26"/>
                <w:szCs w:val="26"/>
              </w:rPr>
            </w:pPr>
          </w:p>
        </w:tc>
        <w:tc>
          <w:tcPr>
            <w:tcW w:w="593" w:type="dxa"/>
          </w:tcPr>
          <w:p w:rsidR="00B95EB1" w:rsidRPr="00231455" w:rsidRDefault="00B95EB1" w:rsidP="00A87583">
            <w:pPr>
              <w:tabs>
                <w:tab w:val="left" w:pos="3960"/>
              </w:tabs>
              <w:spacing w:after="0"/>
              <w:rPr>
                <w:rFonts w:ascii="Times New Roman" w:hAnsi="Times New Roman" w:cs="Times New Roman"/>
                <w:sz w:val="26"/>
                <w:szCs w:val="26"/>
              </w:rPr>
            </w:pPr>
          </w:p>
        </w:tc>
        <w:tc>
          <w:tcPr>
            <w:tcW w:w="540" w:type="dxa"/>
          </w:tcPr>
          <w:p w:rsidR="00B95EB1" w:rsidRPr="00231455" w:rsidRDefault="00B95EB1" w:rsidP="00A87583">
            <w:pPr>
              <w:tabs>
                <w:tab w:val="left" w:pos="3960"/>
              </w:tabs>
              <w:spacing w:after="0"/>
              <w:rPr>
                <w:rFonts w:ascii="Times New Roman" w:hAnsi="Times New Roman" w:cs="Times New Roman"/>
                <w:sz w:val="26"/>
                <w:szCs w:val="26"/>
              </w:rPr>
            </w:pPr>
          </w:p>
        </w:tc>
        <w:tc>
          <w:tcPr>
            <w:tcW w:w="1800" w:type="dxa"/>
          </w:tcPr>
          <w:p w:rsidR="00B95EB1" w:rsidRPr="00231455" w:rsidRDefault="00B95EB1" w:rsidP="00A87583">
            <w:pPr>
              <w:tabs>
                <w:tab w:val="left" w:pos="3960"/>
              </w:tabs>
              <w:spacing w:after="0"/>
              <w:rPr>
                <w:rFonts w:ascii="Times New Roman" w:hAnsi="Times New Roman" w:cs="Times New Roman"/>
                <w:sz w:val="26"/>
                <w:szCs w:val="26"/>
              </w:rPr>
            </w:pPr>
          </w:p>
        </w:tc>
      </w:tr>
      <w:tr w:rsidR="00B95EB1" w:rsidRPr="00231455" w:rsidTr="00D95F14">
        <w:tc>
          <w:tcPr>
            <w:tcW w:w="4525" w:type="dxa"/>
            <w:gridSpan w:val="2"/>
          </w:tcPr>
          <w:p w:rsidR="00B95EB1" w:rsidRPr="00231455" w:rsidRDefault="00B95EB1" w:rsidP="00A87583">
            <w:pPr>
              <w:tabs>
                <w:tab w:val="left" w:pos="3960"/>
              </w:tabs>
              <w:spacing w:after="0"/>
              <w:rPr>
                <w:rFonts w:ascii="Times New Roman" w:hAnsi="Times New Roman" w:cs="Times New Roman"/>
                <w:sz w:val="26"/>
                <w:szCs w:val="26"/>
              </w:rPr>
            </w:pPr>
            <w:r w:rsidRPr="00231455">
              <w:rPr>
                <w:rFonts w:ascii="Times New Roman" w:hAnsi="Times New Roman" w:cs="Times New Roman"/>
                <w:sz w:val="26"/>
                <w:szCs w:val="26"/>
              </w:rPr>
              <w:t xml:space="preserve">7. Alte informaţii </w:t>
            </w:r>
          </w:p>
          <w:p w:rsidR="00B95EB1" w:rsidRPr="00231455" w:rsidRDefault="00B95EB1" w:rsidP="00A87583">
            <w:pPr>
              <w:tabs>
                <w:tab w:val="left" w:pos="3960"/>
              </w:tabs>
              <w:spacing w:after="0"/>
              <w:rPr>
                <w:rFonts w:ascii="Times New Roman" w:hAnsi="Times New Roman" w:cs="Times New Roman"/>
                <w:sz w:val="26"/>
                <w:szCs w:val="26"/>
              </w:rPr>
            </w:pPr>
            <w:r w:rsidRPr="00231455">
              <w:rPr>
                <w:rFonts w:ascii="Times New Roman" w:hAnsi="Times New Roman" w:cs="Times New Roman"/>
                <w:sz w:val="26"/>
                <w:szCs w:val="26"/>
              </w:rPr>
              <w:t>Nu sunt</w:t>
            </w:r>
          </w:p>
        </w:tc>
        <w:tc>
          <w:tcPr>
            <w:tcW w:w="5409" w:type="dxa"/>
            <w:gridSpan w:val="7"/>
          </w:tcPr>
          <w:p w:rsidR="00B95EB1" w:rsidRPr="00231455" w:rsidRDefault="00B95EB1" w:rsidP="00A87583">
            <w:pPr>
              <w:tabs>
                <w:tab w:val="left" w:pos="3960"/>
              </w:tabs>
              <w:spacing w:after="0"/>
              <w:rPr>
                <w:rFonts w:ascii="Times New Roman" w:hAnsi="Times New Roman" w:cs="Times New Roman"/>
                <w:sz w:val="26"/>
                <w:szCs w:val="26"/>
              </w:rPr>
            </w:pPr>
          </w:p>
        </w:tc>
      </w:tr>
      <w:tr w:rsidR="00B95EB1" w:rsidRPr="00231455" w:rsidTr="00C11A4B">
        <w:tc>
          <w:tcPr>
            <w:tcW w:w="9934" w:type="dxa"/>
            <w:gridSpan w:val="9"/>
          </w:tcPr>
          <w:p w:rsidR="00B95EB1" w:rsidRPr="00231455" w:rsidRDefault="00B95EB1" w:rsidP="00A87583">
            <w:pPr>
              <w:tabs>
                <w:tab w:val="left" w:pos="3960"/>
              </w:tabs>
              <w:spacing w:after="0"/>
              <w:jc w:val="center"/>
              <w:rPr>
                <w:rFonts w:ascii="Times New Roman" w:hAnsi="Times New Roman" w:cs="Times New Roman"/>
                <w:b/>
                <w:bCs/>
                <w:sz w:val="26"/>
                <w:szCs w:val="26"/>
              </w:rPr>
            </w:pPr>
          </w:p>
          <w:p w:rsidR="00B95EB1" w:rsidRPr="00231455" w:rsidRDefault="00B95EB1" w:rsidP="00A87583">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Secţiunea a 5-a</w:t>
            </w:r>
          </w:p>
          <w:p w:rsidR="00B95EB1" w:rsidRPr="00231455" w:rsidRDefault="00B95EB1" w:rsidP="00406152">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Efectele proiectului de act normativ asupra legislaţiei în vigoare</w:t>
            </w:r>
          </w:p>
          <w:p w:rsidR="00B95EB1" w:rsidRPr="00231455" w:rsidRDefault="00B95EB1" w:rsidP="00406152">
            <w:pPr>
              <w:tabs>
                <w:tab w:val="left" w:pos="3960"/>
              </w:tabs>
              <w:spacing w:after="0"/>
              <w:jc w:val="center"/>
              <w:rPr>
                <w:rFonts w:ascii="Times New Roman" w:hAnsi="Times New Roman" w:cs="Times New Roman"/>
                <w:b/>
                <w:bCs/>
                <w:sz w:val="26"/>
                <w:szCs w:val="26"/>
              </w:rPr>
            </w:pPr>
          </w:p>
        </w:tc>
      </w:tr>
      <w:tr w:rsidR="00B95EB1" w:rsidRPr="00231455" w:rsidTr="00D95F14">
        <w:trPr>
          <w:trHeight w:val="700"/>
        </w:trPr>
        <w:tc>
          <w:tcPr>
            <w:tcW w:w="4534" w:type="dxa"/>
            <w:gridSpan w:val="3"/>
          </w:tcPr>
          <w:p w:rsidR="00B95EB1" w:rsidRPr="00231455" w:rsidRDefault="00B95EB1"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231455">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rsidR="00B95EB1" w:rsidRPr="00231455" w:rsidRDefault="00B95EB1"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p>
        </w:tc>
        <w:tc>
          <w:tcPr>
            <w:tcW w:w="5400" w:type="dxa"/>
            <w:gridSpan w:val="6"/>
          </w:tcPr>
          <w:p w:rsidR="00B95EB1" w:rsidRPr="00231455" w:rsidRDefault="00B95EB1" w:rsidP="00D95F14">
            <w:pPr>
              <w:tabs>
                <w:tab w:val="left" w:pos="3960"/>
              </w:tabs>
              <w:autoSpaceDE w:val="0"/>
              <w:autoSpaceDN w:val="0"/>
              <w:adjustRightInd w:val="0"/>
              <w:spacing w:after="0" w:line="240" w:lineRule="auto"/>
              <w:jc w:val="both"/>
              <w:rPr>
                <w:rFonts w:ascii="Times New Roman" w:hAnsi="Times New Roman" w:cs="Times New Roman"/>
                <w:i/>
                <w:iCs/>
                <w:sz w:val="26"/>
                <w:szCs w:val="26"/>
              </w:rPr>
            </w:pPr>
          </w:p>
        </w:tc>
      </w:tr>
      <w:tr w:rsidR="00B95EB1" w:rsidRPr="00231455" w:rsidTr="00D95F14">
        <w:trPr>
          <w:trHeight w:val="700"/>
        </w:trPr>
        <w:tc>
          <w:tcPr>
            <w:tcW w:w="4534" w:type="dxa"/>
            <w:gridSpan w:val="3"/>
          </w:tcPr>
          <w:p w:rsidR="00B95EB1" w:rsidRPr="00231455" w:rsidRDefault="00B95EB1"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231455">
              <w:rPr>
                <w:rFonts w:ascii="Times New Roman" w:hAnsi="Times New Roman" w:cs="Times New Roman"/>
                <w:i/>
                <w:iCs/>
                <w:sz w:val="26"/>
                <w:szCs w:val="26"/>
              </w:rPr>
              <w:t>a) acte normative care se modifică sau se abrogă ca urmare a intrării în vigoare a proiectului de act normativ;</w:t>
            </w:r>
          </w:p>
        </w:tc>
        <w:tc>
          <w:tcPr>
            <w:tcW w:w="5400" w:type="dxa"/>
            <w:gridSpan w:val="6"/>
          </w:tcPr>
          <w:p w:rsidR="00B95EB1" w:rsidRPr="00C747C0" w:rsidRDefault="00B95EB1" w:rsidP="008B287F">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C747C0">
              <w:rPr>
                <w:rFonts w:ascii="Times New Roman" w:hAnsi="Times New Roman" w:cs="Times New Roman"/>
                <w:b/>
                <w:noProof/>
                <w:sz w:val="24"/>
                <w:szCs w:val="24"/>
              </w:rPr>
              <w:t xml:space="preserve">HG nr. 400/2014 </w:t>
            </w:r>
            <w:r w:rsidRPr="00C747C0">
              <w:rPr>
                <w:rFonts w:ascii="Times New Roman" w:hAnsi="Times New Roman" w:cs="Times New Roman"/>
                <w:i/>
                <w:noProof/>
                <w:sz w:val="24"/>
                <w:szCs w:val="24"/>
              </w:rPr>
              <w:t>pentru aprobarea  pachetelor de servicii şi  a Contractului-cadru care reglementează condiţiile acordării asistenţei medicale în cadrul sistemului de asigurări sociale de sănătate pentru anii 2014 – 2015, cu modificările și completările ulterioare</w:t>
            </w:r>
          </w:p>
        </w:tc>
      </w:tr>
      <w:tr w:rsidR="00B95EB1" w:rsidRPr="00231455" w:rsidTr="00D95F14">
        <w:trPr>
          <w:trHeight w:val="700"/>
        </w:trPr>
        <w:tc>
          <w:tcPr>
            <w:tcW w:w="4534" w:type="dxa"/>
            <w:gridSpan w:val="3"/>
          </w:tcPr>
          <w:p w:rsidR="00B95EB1" w:rsidRPr="00231455" w:rsidRDefault="00B95EB1" w:rsidP="00D95F14">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231455">
              <w:rPr>
                <w:rFonts w:ascii="Times New Roman" w:hAnsi="Times New Roman" w:cs="Times New Roman"/>
                <w:i/>
                <w:iCs/>
                <w:sz w:val="26"/>
                <w:szCs w:val="26"/>
              </w:rPr>
              <w:t>b) acte normative ce urmează a fi elaborate în vederea implementării noilor dispoziţii.</w:t>
            </w:r>
          </w:p>
          <w:p w:rsidR="00B95EB1" w:rsidRPr="00231455" w:rsidRDefault="00B95EB1"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p>
        </w:tc>
        <w:tc>
          <w:tcPr>
            <w:tcW w:w="5400" w:type="dxa"/>
            <w:gridSpan w:val="6"/>
          </w:tcPr>
          <w:p w:rsidR="00B95EB1" w:rsidRPr="00C747C0" w:rsidRDefault="00B95EB1" w:rsidP="008B287F">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C747C0">
              <w:rPr>
                <w:rFonts w:ascii="Times New Roman" w:hAnsi="Times New Roman" w:cs="Times New Roman"/>
                <w:noProof/>
                <w:sz w:val="24"/>
                <w:szCs w:val="24"/>
              </w:rPr>
              <w:t xml:space="preserve">Ordin al ministrului sănătăţii şi al preşedintelui Casei Naţionale de Asigurări de Sănătate privind aprobarea Normelor Metodologice de aplicare </w:t>
            </w:r>
            <w:r w:rsidRPr="00C747C0">
              <w:rPr>
                <w:rFonts w:ascii="Times New Roman" w:hAnsi="Times New Roman" w:cs="Times New Roman"/>
                <w:sz w:val="24"/>
                <w:szCs w:val="24"/>
              </w:rPr>
              <w:t>în anul 2016 a Hotărârii Guvernului pentru aprobarea pachetelor de servicii şi a Contractului-cadru care reglementează condiţiile acordării asistenţei medicale în cadrul sistemului de asigurări sociale de sănătate pentru anii 2016 – 2017.</w:t>
            </w:r>
          </w:p>
        </w:tc>
      </w:tr>
      <w:tr w:rsidR="00B95EB1" w:rsidRPr="00231455" w:rsidTr="00D95F14">
        <w:trPr>
          <w:trHeight w:val="930"/>
        </w:trPr>
        <w:tc>
          <w:tcPr>
            <w:tcW w:w="4534" w:type="dxa"/>
            <w:gridSpan w:val="3"/>
          </w:tcPr>
          <w:p w:rsidR="00B95EB1" w:rsidRPr="00231455" w:rsidRDefault="00B95EB1" w:rsidP="00D95F14">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231455">
              <w:rPr>
                <w:rFonts w:ascii="Times New Roman" w:hAnsi="Times New Roman" w:cs="Times New Roman"/>
                <w:b/>
                <w:bCs/>
                <w:sz w:val="26"/>
                <w:szCs w:val="26"/>
              </w:rPr>
              <w:t>1</w:t>
            </w:r>
            <w:r w:rsidRPr="00231455">
              <w:rPr>
                <w:rFonts w:ascii="Times New Roman" w:hAnsi="Times New Roman" w:cs="Times New Roman"/>
                <w:b/>
                <w:bCs/>
                <w:sz w:val="26"/>
                <w:szCs w:val="26"/>
                <w:vertAlign w:val="superscript"/>
              </w:rPr>
              <w:t>1</w:t>
            </w:r>
            <w:r w:rsidRPr="00231455">
              <w:rPr>
                <w:rFonts w:ascii="Times New Roman" w:hAnsi="Times New Roman" w:cs="Times New Roman"/>
                <w:b/>
                <w:bCs/>
                <w:sz w:val="26"/>
                <w:szCs w:val="26"/>
              </w:rPr>
              <w:t>. Compatibilitatea proiectului de act normativ cu legisla</w:t>
            </w:r>
            <w:r w:rsidRPr="00231455">
              <w:rPr>
                <w:rFonts w:ascii="Tahoma" w:hAnsi="Tahoma" w:cs="Tahoma"/>
                <w:b/>
                <w:bCs/>
                <w:sz w:val="26"/>
                <w:szCs w:val="26"/>
              </w:rPr>
              <w:t>ț</w:t>
            </w:r>
            <w:r w:rsidRPr="00231455">
              <w:rPr>
                <w:rFonts w:ascii="Times New Roman" w:hAnsi="Times New Roman" w:cs="Times New Roman"/>
                <w:b/>
                <w:bCs/>
                <w:sz w:val="26"/>
                <w:szCs w:val="26"/>
              </w:rPr>
              <w:t>ia în domeniul achizi</w:t>
            </w:r>
            <w:r w:rsidRPr="00231455">
              <w:rPr>
                <w:rFonts w:ascii="Tahoma" w:hAnsi="Tahoma" w:cs="Tahoma"/>
                <w:b/>
                <w:bCs/>
                <w:sz w:val="26"/>
                <w:szCs w:val="26"/>
              </w:rPr>
              <w:t>ț</w:t>
            </w:r>
            <w:r w:rsidRPr="00231455">
              <w:rPr>
                <w:rFonts w:ascii="Times New Roman" w:hAnsi="Times New Roman" w:cs="Times New Roman"/>
                <w:b/>
                <w:bCs/>
                <w:sz w:val="26"/>
                <w:szCs w:val="26"/>
              </w:rPr>
              <w:t>iilor publice</w:t>
            </w:r>
          </w:p>
        </w:tc>
        <w:tc>
          <w:tcPr>
            <w:tcW w:w="5400" w:type="dxa"/>
            <w:gridSpan w:val="6"/>
          </w:tcPr>
          <w:p w:rsidR="00B95EB1" w:rsidRPr="00C747C0" w:rsidRDefault="00B95EB1" w:rsidP="00D95F14">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C747C0">
              <w:rPr>
                <w:rFonts w:ascii="Times New Roman" w:hAnsi="Times New Roman" w:cs="Times New Roman"/>
                <w:sz w:val="24"/>
                <w:szCs w:val="24"/>
              </w:rPr>
              <w:t>Proiectul de act normativ nu se referă la acest subiect</w:t>
            </w:r>
          </w:p>
          <w:p w:rsidR="00B95EB1" w:rsidRPr="00C747C0" w:rsidRDefault="00B95EB1" w:rsidP="00D95F14">
            <w:pPr>
              <w:tabs>
                <w:tab w:val="left" w:pos="3960"/>
              </w:tabs>
              <w:spacing w:after="0"/>
              <w:jc w:val="both"/>
              <w:rPr>
                <w:rFonts w:ascii="Times New Roman" w:hAnsi="Times New Roman" w:cs="Times New Roman"/>
                <w:b/>
                <w:bCs/>
                <w:sz w:val="24"/>
                <w:szCs w:val="24"/>
              </w:rPr>
            </w:pPr>
          </w:p>
        </w:tc>
      </w:tr>
      <w:tr w:rsidR="00B95EB1" w:rsidRPr="00231455" w:rsidTr="00D95F14">
        <w:trPr>
          <w:trHeight w:val="930"/>
        </w:trPr>
        <w:tc>
          <w:tcPr>
            <w:tcW w:w="4534" w:type="dxa"/>
            <w:gridSpan w:val="3"/>
          </w:tcPr>
          <w:p w:rsidR="00B95EB1" w:rsidRPr="00231455" w:rsidRDefault="00B95EB1" w:rsidP="00D95F14">
            <w:pPr>
              <w:tabs>
                <w:tab w:val="left" w:pos="3960"/>
              </w:tabs>
              <w:autoSpaceDE w:val="0"/>
              <w:autoSpaceDN w:val="0"/>
              <w:adjustRightInd w:val="0"/>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2. Conformitatea proiectului de act normativ cu legislaţia comunitară în cazul proiectelor ce transpun prevederi comunitare:</w:t>
            </w:r>
          </w:p>
        </w:tc>
        <w:tc>
          <w:tcPr>
            <w:tcW w:w="5400" w:type="dxa"/>
            <w:gridSpan w:val="6"/>
          </w:tcPr>
          <w:p w:rsidR="00B95EB1" w:rsidRPr="00C747C0" w:rsidRDefault="00B95EB1" w:rsidP="00D95F14">
            <w:pPr>
              <w:tabs>
                <w:tab w:val="left" w:pos="3960"/>
              </w:tabs>
              <w:spacing w:after="0"/>
              <w:jc w:val="both"/>
              <w:rPr>
                <w:rFonts w:ascii="Times New Roman" w:hAnsi="Times New Roman" w:cs="Times New Roman"/>
                <w:sz w:val="24"/>
                <w:szCs w:val="24"/>
              </w:rPr>
            </w:pPr>
            <w:r w:rsidRPr="00C747C0">
              <w:rPr>
                <w:rFonts w:ascii="Times New Roman" w:hAnsi="Times New Roman" w:cs="Times New Roman"/>
                <w:sz w:val="24"/>
                <w:szCs w:val="24"/>
              </w:rPr>
              <w:t>Proiectul de act normativ nu se referă la acest subiect</w:t>
            </w:r>
          </w:p>
          <w:p w:rsidR="00B95EB1" w:rsidRPr="00C747C0" w:rsidRDefault="00B95EB1" w:rsidP="00B4626A">
            <w:pPr>
              <w:tabs>
                <w:tab w:val="left" w:pos="3960"/>
              </w:tabs>
              <w:autoSpaceDE w:val="0"/>
              <w:autoSpaceDN w:val="0"/>
              <w:adjustRightInd w:val="0"/>
              <w:spacing w:after="0" w:line="240" w:lineRule="auto"/>
              <w:jc w:val="both"/>
              <w:rPr>
                <w:rFonts w:ascii="Times New Roman" w:hAnsi="Times New Roman" w:cs="Times New Roman"/>
                <w:b/>
                <w:bCs/>
                <w:sz w:val="24"/>
                <w:szCs w:val="24"/>
              </w:rPr>
            </w:pPr>
          </w:p>
        </w:tc>
      </w:tr>
      <w:tr w:rsidR="00B95EB1" w:rsidRPr="00231455" w:rsidTr="00D95F14">
        <w:trPr>
          <w:trHeight w:val="930"/>
        </w:trPr>
        <w:tc>
          <w:tcPr>
            <w:tcW w:w="4534" w:type="dxa"/>
            <w:gridSpan w:val="3"/>
          </w:tcPr>
          <w:p w:rsidR="00B95EB1" w:rsidRPr="00231455" w:rsidRDefault="00B95EB1" w:rsidP="00D95F14">
            <w:pPr>
              <w:tabs>
                <w:tab w:val="left" w:pos="3960"/>
              </w:tabs>
              <w:autoSpaceDE w:val="0"/>
              <w:autoSpaceDN w:val="0"/>
              <w:adjustRightInd w:val="0"/>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3. Măsuri normative necesare aplicării directe a actelor normative comunitare</w:t>
            </w:r>
          </w:p>
        </w:tc>
        <w:tc>
          <w:tcPr>
            <w:tcW w:w="5400" w:type="dxa"/>
            <w:gridSpan w:val="6"/>
          </w:tcPr>
          <w:p w:rsidR="00B95EB1" w:rsidRPr="00C747C0" w:rsidRDefault="00B95EB1" w:rsidP="00B4626A">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C747C0">
              <w:rPr>
                <w:rFonts w:ascii="Times New Roman" w:hAnsi="Times New Roman" w:cs="Times New Roman"/>
                <w:sz w:val="24"/>
                <w:szCs w:val="24"/>
              </w:rPr>
              <w:t>Proiectul de act normativ nu se referă la acest subiect</w:t>
            </w:r>
          </w:p>
        </w:tc>
      </w:tr>
      <w:tr w:rsidR="00B95EB1" w:rsidRPr="00231455" w:rsidTr="00D95F14">
        <w:trPr>
          <w:trHeight w:val="930"/>
        </w:trPr>
        <w:tc>
          <w:tcPr>
            <w:tcW w:w="4534" w:type="dxa"/>
            <w:gridSpan w:val="3"/>
          </w:tcPr>
          <w:p w:rsidR="00B95EB1" w:rsidRPr="00231455" w:rsidRDefault="00B95EB1" w:rsidP="00D95F14">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 xml:space="preserve">4. Hotărâri ale Curţii de Justiţie a Uniunii Europene </w:t>
            </w:r>
          </w:p>
        </w:tc>
        <w:tc>
          <w:tcPr>
            <w:tcW w:w="5400" w:type="dxa"/>
            <w:gridSpan w:val="6"/>
          </w:tcPr>
          <w:p w:rsidR="00B95EB1" w:rsidRPr="00C747C0" w:rsidRDefault="00B95EB1" w:rsidP="00D95F14">
            <w:pPr>
              <w:tabs>
                <w:tab w:val="left" w:pos="3960"/>
              </w:tabs>
              <w:spacing w:after="0"/>
              <w:jc w:val="both"/>
              <w:rPr>
                <w:rFonts w:ascii="Times New Roman" w:hAnsi="Times New Roman" w:cs="Times New Roman"/>
                <w:sz w:val="24"/>
                <w:szCs w:val="24"/>
              </w:rPr>
            </w:pPr>
            <w:r w:rsidRPr="00C747C0">
              <w:rPr>
                <w:rFonts w:ascii="Times New Roman" w:hAnsi="Times New Roman" w:cs="Times New Roman"/>
                <w:sz w:val="24"/>
                <w:szCs w:val="24"/>
              </w:rPr>
              <w:t>Proiectul de act normativ nu se referă la acest subiect</w:t>
            </w:r>
          </w:p>
        </w:tc>
      </w:tr>
      <w:tr w:rsidR="00B95EB1" w:rsidRPr="00231455" w:rsidTr="00D95F14">
        <w:trPr>
          <w:trHeight w:val="930"/>
        </w:trPr>
        <w:tc>
          <w:tcPr>
            <w:tcW w:w="4534" w:type="dxa"/>
            <w:gridSpan w:val="3"/>
          </w:tcPr>
          <w:p w:rsidR="00B95EB1" w:rsidRPr="00231455" w:rsidRDefault="00B95EB1" w:rsidP="00D95F14">
            <w:pPr>
              <w:tabs>
                <w:tab w:val="left" w:pos="3960"/>
              </w:tabs>
              <w:autoSpaceDE w:val="0"/>
              <w:autoSpaceDN w:val="0"/>
              <w:adjustRightInd w:val="0"/>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5. Alte acte normative şi/sau documente internaţionale din care decurg angajamente, făcându-se referire la un anume acord, o anume rezoluţie sau recomandare internaţională ori la alt document al unei organizaţii internaţionale:</w:t>
            </w:r>
          </w:p>
        </w:tc>
        <w:tc>
          <w:tcPr>
            <w:tcW w:w="5400" w:type="dxa"/>
            <w:gridSpan w:val="6"/>
          </w:tcPr>
          <w:p w:rsidR="00B95EB1" w:rsidRPr="00C747C0" w:rsidRDefault="00B95EB1" w:rsidP="00D95F14">
            <w:pPr>
              <w:tabs>
                <w:tab w:val="left" w:pos="3960"/>
              </w:tabs>
              <w:spacing w:after="0"/>
              <w:jc w:val="both"/>
              <w:rPr>
                <w:rFonts w:ascii="Times New Roman" w:hAnsi="Times New Roman" w:cs="Times New Roman"/>
                <w:sz w:val="24"/>
                <w:szCs w:val="24"/>
              </w:rPr>
            </w:pPr>
            <w:r w:rsidRPr="00C747C0">
              <w:rPr>
                <w:rFonts w:ascii="Times New Roman" w:hAnsi="Times New Roman" w:cs="Times New Roman"/>
                <w:sz w:val="24"/>
                <w:szCs w:val="24"/>
              </w:rPr>
              <w:t>Proiectul de act normativ nu se referă la acest subiect</w:t>
            </w:r>
          </w:p>
          <w:p w:rsidR="00B95EB1" w:rsidRPr="00C747C0" w:rsidRDefault="00B95EB1" w:rsidP="00B4626A">
            <w:pPr>
              <w:tabs>
                <w:tab w:val="left" w:pos="3960"/>
              </w:tabs>
              <w:autoSpaceDE w:val="0"/>
              <w:autoSpaceDN w:val="0"/>
              <w:adjustRightInd w:val="0"/>
              <w:spacing w:after="0" w:line="240" w:lineRule="auto"/>
              <w:jc w:val="both"/>
              <w:rPr>
                <w:rFonts w:ascii="Times New Roman" w:hAnsi="Times New Roman" w:cs="Times New Roman"/>
                <w:b/>
                <w:bCs/>
                <w:sz w:val="24"/>
                <w:szCs w:val="24"/>
              </w:rPr>
            </w:pPr>
          </w:p>
        </w:tc>
      </w:tr>
      <w:tr w:rsidR="00B95EB1" w:rsidRPr="00231455" w:rsidTr="00D95F14">
        <w:trPr>
          <w:trHeight w:val="584"/>
        </w:trPr>
        <w:tc>
          <w:tcPr>
            <w:tcW w:w="4534" w:type="dxa"/>
            <w:gridSpan w:val="3"/>
          </w:tcPr>
          <w:p w:rsidR="00B95EB1" w:rsidRPr="00231455" w:rsidRDefault="00B95EB1" w:rsidP="00D95F14">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6. Alte informaţii</w:t>
            </w:r>
          </w:p>
          <w:p w:rsidR="00B95EB1" w:rsidRPr="00231455" w:rsidRDefault="00B95EB1" w:rsidP="00D95F14">
            <w:pPr>
              <w:tabs>
                <w:tab w:val="left" w:pos="3960"/>
              </w:tabs>
              <w:autoSpaceDE w:val="0"/>
              <w:autoSpaceDN w:val="0"/>
              <w:adjustRightInd w:val="0"/>
              <w:spacing w:after="0" w:line="240" w:lineRule="auto"/>
              <w:jc w:val="both"/>
              <w:rPr>
                <w:rFonts w:ascii="Times New Roman" w:hAnsi="Times New Roman" w:cs="Times New Roman"/>
                <w:b/>
                <w:bCs/>
                <w:sz w:val="26"/>
                <w:szCs w:val="26"/>
              </w:rPr>
            </w:pPr>
          </w:p>
        </w:tc>
        <w:tc>
          <w:tcPr>
            <w:tcW w:w="5400" w:type="dxa"/>
            <w:gridSpan w:val="6"/>
          </w:tcPr>
          <w:p w:rsidR="00B95EB1" w:rsidRPr="00231455" w:rsidRDefault="00B95EB1"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231455">
              <w:rPr>
                <w:rFonts w:ascii="Times New Roman" w:hAnsi="Times New Roman" w:cs="Times New Roman"/>
                <w:bCs/>
                <w:sz w:val="26"/>
                <w:szCs w:val="26"/>
              </w:rPr>
              <w:t>Nu sunt.</w:t>
            </w:r>
          </w:p>
        </w:tc>
      </w:tr>
      <w:tr w:rsidR="00B95EB1" w:rsidRPr="00231455" w:rsidTr="00C11A4B">
        <w:tc>
          <w:tcPr>
            <w:tcW w:w="9934" w:type="dxa"/>
            <w:gridSpan w:val="9"/>
          </w:tcPr>
          <w:p w:rsidR="00B95EB1" w:rsidRPr="00231455" w:rsidRDefault="00B95EB1" w:rsidP="00AA35A4">
            <w:pPr>
              <w:tabs>
                <w:tab w:val="left" w:pos="3960"/>
              </w:tabs>
              <w:spacing w:after="0"/>
              <w:jc w:val="center"/>
              <w:rPr>
                <w:rFonts w:ascii="Times New Roman" w:hAnsi="Times New Roman" w:cs="Times New Roman"/>
                <w:b/>
                <w:bCs/>
                <w:sz w:val="26"/>
                <w:szCs w:val="26"/>
              </w:rPr>
            </w:pPr>
          </w:p>
          <w:p w:rsidR="00B95EB1" w:rsidRPr="00231455" w:rsidRDefault="00B95EB1" w:rsidP="00AA35A4">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Secţiunea a 6-a</w:t>
            </w:r>
          </w:p>
          <w:p w:rsidR="00B95EB1" w:rsidRPr="00231455" w:rsidRDefault="00B95EB1" w:rsidP="00246A4C">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Consultările efectuate în vederea elaborării proiectului de act normativ</w:t>
            </w:r>
          </w:p>
          <w:p w:rsidR="00B95EB1" w:rsidRPr="00231455" w:rsidRDefault="00B95EB1" w:rsidP="00246A4C">
            <w:pPr>
              <w:tabs>
                <w:tab w:val="left" w:pos="3960"/>
              </w:tabs>
              <w:spacing w:after="0"/>
              <w:jc w:val="center"/>
              <w:rPr>
                <w:rFonts w:ascii="Times New Roman" w:hAnsi="Times New Roman" w:cs="Times New Roman"/>
                <w:b/>
                <w:bCs/>
                <w:sz w:val="26"/>
                <w:szCs w:val="26"/>
              </w:rPr>
            </w:pPr>
          </w:p>
        </w:tc>
      </w:tr>
      <w:tr w:rsidR="00B95EB1" w:rsidRPr="00231455" w:rsidTr="0074749D">
        <w:trPr>
          <w:trHeight w:val="1555"/>
        </w:trPr>
        <w:tc>
          <w:tcPr>
            <w:tcW w:w="4534" w:type="dxa"/>
            <w:gridSpan w:val="3"/>
          </w:tcPr>
          <w:p w:rsidR="00B95EB1" w:rsidRPr="00231455" w:rsidRDefault="00B95EB1" w:rsidP="00582A93">
            <w:pPr>
              <w:tabs>
                <w:tab w:val="left" w:pos="3960"/>
              </w:tabs>
              <w:spacing w:after="0" w:line="240" w:lineRule="auto"/>
              <w:jc w:val="both"/>
              <w:rPr>
                <w:rFonts w:ascii="Times New Roman" w:hAnsi="Times New Roman" w:cs="Times New Roman"/>
                <w:b/>
                <w:bCs/>
                <w:sz w:val="26"/>
                <w:szCs w:val="26"/>
              </w:rPr>
            </w:pPr>
            <w:r w:rsidRPr="00231455">
              <w:rPr>
                <w:rFonts w:ascii="Times New Roman" w:hAnsi="Times New Roman" w:cs="Times New Roman"/>
                <w:b/>
                <w:bCs/>
                <w:sz w:val="26"/>
                <w:szCs w:val="26"/>
              </w:rPr>
              <w:t xml:space="preserve">1. Informaţii privind procesul de consultare cu organizaţiile neguvernamentale, institute de cercetare şi alte organisme implicate </w:t>
            </w:r>
          </w:p>
        </w:tc>
        <w:tc>
          <w:tcPr>
            <w:tcW w:w="5400" w:type="dxa"/>
            <w:gridSpan w:val="6"/>
          </w:tcPr>
          <w:p w:rsidR="00B95EB1" w:rsidRPr="00231455" w:rsidRDefault="00FF7CF0" w:rsidP="00FF7CF0">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Negocieri /consultări </w:t>
            </w:r>
            <w:r w:rsidR="00B95EB1" w:rsidRPr="00231455">
              <w:rPr>
                <w:rFonts w:ascii="Times New Roman" w:hAnsi="Times New Roman" w:cs="Times New Roman"/>
                <w:sz w:val="24"/>
                <w:szCs w:val="24"/>
              </w:rPr>
              <w:t xml:space="preserve">în procesul de elaborare a proiectului de hotărâre a Guvernului pentru aprobarea </w:t>
            </w:r>
            <w:r w:rsidR="00B95EB1" w:rsidRPr="00231455">
              <w:rPr>
                <w:rFonts w:ascii="Times New Roman" w:hAnsi="Times New Roman" w:cs="Times New Roman"/>
                <w:noProof/>
                <w:sz w:val="24"/>
                <w:szCs w:val="24"/>
              </w:rPr>
              <w:t xml:space="preserve">pachetelor de servicii şi a Contractului-cadru care reglementează condiţiile acordării asistenţei medicale în cadrul sistemului de asigurări sociale de sănătate pentru anii 2016- 2017, </w:t>
            </w:r>
            <w:r w:rsidR="00B95EB1" w:rsidRPr="00231455">
              <w:rPr>
                <w:rFonts w:ascii="Times New Roman" w:hAnsi="Times New Roman" w:cs="Times New Roman"/>
                <w:sz w:val="24"/>
                <w:szCs w:val="24"/>
              </w:rPr>
              <w:t xml:space="preserve">cu Colegiul Medicilor din România, Colegiul Medicilor Dentişti din România, </w:t>
            </w:r>
            <w:r w:rsidR="00B95EB1" w:rsidRPr="00231455">
              <w:rPr>
                <w:rFonts w:ascii="Times New Roman" w:hAnsi="Times New Roman" w:cs="Times New Roman"/>
                <w:sz w:val="24"/>
                <w:szCs w:val="24"/>
                <w:lang w:eastAsia="ro-RO"/>
              </w:rPr>
              <w:t xml:space="preserve">Colegiului Farmaciştilor din România, Ordinului Biochimiştilor, Biologilor şi Chimiştilor în Sistemul Sanitar din România, </w:t>
            </w:r>
            <w:r w:rsidR="00B95EB1" w:rsidRPr="00231455">
              <w:rPr>
                <w:rFonts w:ascii="Times New Roman" w:hAnsi="Times New Roman" w:cs="Times New Roman"/>
                <w:sz w:val="24"/>
                <w:szCs w:val="24"/>
              </w:rPr>
              <w:t xml:space="preserve">Ordinului Asistenţilor Medicali Generalişti, Moaşelor şi Asistenţilor Medicali din România, Comisiile de Specialitate ale Ministerului Sănătăţii, </w:t>
            </w:r>
            <w:r w:rsidR="00B95EB1" w:rsidRPr="00231455">
              <w:rPr>
                <w:rFonts w:ascii="Times New Roman" w:hAnsi="Times New Roman" w:cs="Times New Roman"/>
                <w:sz w:val="24"/>
                <w:szCs w:val="24"/>
                <w:lang w:eastAsia="ro-RO"/>
              </w:rPr>
              <w:t>precum şi cu organizaţiile patronale şi sindicale reprezentative din domeniul medical</w:t>
            </w:r>
            <w:r w:rsidR="00474AA2">
              <w:rPr>
                <w:rFonts w:ascii="Times New Roman" w:hAnsi="Times New Roman" w:cs="Times New Roman"/>
                <w:sz w:val="24"/>
                <w:szCs w:val="24"/>
                <w:lang w:eastAsia="ro-RO"/>
              </w:rPr>
              <w:t xml:space="preserve"> (conform dispozițiilor art. 229 alin. 2 din Legea nr. 95/2006, republicată) </w:t>
            </w:r>
            <w:r w:rsidR="00B95EB1" w:rsidRPr="00231455">
              <w:rPr>
                <w:rFonts w:ascii="Times New Roman" w:hAnsi="Times New Roman" w:cs="Times New Roman"/>
                <w:sz w:val="24"/>
                <w:szCs w:val="24"/>
                <w:lang w:eastAsia="ro-RO"/>
              </w:rPr>
              <w:t>.</w:t>
            </w:r>
          </w:p>
        </w:tc>
      </w:tr>
      <w:tr w:rsidR="00B95EB1" w:rsidRPr="00231455" w:rsidTr="0074749D">
        <w:trPr>
          <w:trHeight w:val="1555"/>
        </w:trPr>
        <w:tc>
          <w:tcPr>
            <w:tcW w:w="4534" w:type="dxa"/>
            <w:gridSpan w:val="3"/>
          </w:tcPr>
          <w:p w:rsidR="00B95EB1" w:rsidRPr="00231455" w:rsidRDefault="00B95EB1" w:rsidP="00582A93">
            <w:pPr>
              <w:tabs>
                <w:tab w:val="left" w:pos="3960"/>
              </w:tabs>
              <w:spacing w:after="0" w:line="240" w:lineRule="auto"/>
              <w:jc w:val="both"/>
              <w:rPr>
                <w:rFonts w:ascii="Times New Roman" w:hAnsi="Times New Roman" w:cs="Times New Roman"/>
                <w:b/>
                <w:bCs/>
                <w:sz w:val="26"/>
                <w:szCs w:val="26"/>
              </w:rPr>
            </w:pPr>
            <w:r w:rsidRPr="00231455">
              <w:rPr>
                <w:rFonts w:ascii="Times New Roman" w:hAnsi="Times New Roman" w:cs="Times New Roman"/>
                <w:b/>
                <w:bCs/>
                <w:sz w:val="26"/>
                <w:szCs w:val="26"/>
              </w:rPr>
              <w:t>2. Fundamentarea alegerii organizaţiilor cu care a avut loc consultarea precum şi a modului în care activitatea acestor organizaţii este legată de obiectul proiectului de act normativ</w:t>
            </w:r>
          </w:p>
        </w:tc>
        <w:tc>
          <w:tcPr>
            <w:tcW w:w="5400" w:type="dxa"/>
            <w:gridSpan w:val="6"/>
          </w:tcPr>
          <w:p w:rsidR="00B95EB1" w:rsidRPr="00231455" w:rsidRDefault="00B95EB1" w:rsidP="00D95F14">
            <w:pPr>
              <w:tabs>
                <w:tab w:val="left" w:pos="3960"/>
              </w:tabs>
              <w:spacing w:after="0"/>
              <w:jc w:val="both"/>
              <w:rPr>
                <w:rFonts w:ascii="Times New Roman" w:hAnsi="Times New Roman" w:cs="Times New Roman"/>
                <w:sz w:val="24"/>
                <w:szCs w:val="24"/>
              </w:rPr>
            </w:pPr>
            <w:r w:rsidRPr="00231455">
              <w:rPr>
                <w:rFonts w:ascii="Times New Roman" w:hAnsi="Times New Roman" w:cs="Times New Roman"/>
                <w:sz w:val="24"/>
                <w:szCs w:val="24"/>
              </w:rPr>
              <w:t>Proiectul de act normativ nu se referă la acest subiect.</w:t>
            </w:r>
          </w:p>
          <w:p w:rsidR="00B95EB1" w:rsidRPr="00231455" w:rsidRDefault="00B95EB1" w:rsidP="00A87583">
            <w:pPr>
              <w:tabs>
                <w:tab w:val="left" w:pos="3960"/>
              </w:tabs>
              <w:spacing w:after="0"/>
              <w:jc w:val="both"/>
              <w:rPr>
                <w:rFonts w:ascii="Times New Roman" w:hAnsi="Times New Roman" w:cs="Times New Roman"/>
                <w:b/>
                <w:bCs/>
                <w:sz w:val="24"/>
                <w:szCs w:val="24"/>
              </w:rPr>
            </w:pPr>
          </w:p>
        </w:tc>
      </w:tr>
      <w:tr w:rsidR="00B95EB1" w:rsidRPr="00231455" w:rsidTr="00732D32">
        <w:trPr>
          <w:trHeight w:val="711"/>
        </w:trPr>
        <w:tc>
          <w:tcPr>
            <w:tcW w:w="4534" w:type="dxa"/>
            <w:gridSpan w:val="3"/>
          </w:tcPr>
          <w:p w:rsidR="00B95EB1" w:rsidRPr="00231455" w:rsidRDefault="00B95EB1" w:rsidP="00582A93">
            <w:pPr>
              <w:tabs>
                <w:tab w:val="left" w:pos="3960"/>
              </w:tabs>
              <w:spacing w:after="0" w:line="240" w:lineRule="auto"/>
              <w:jc w:val="both"/>
              <w:rPr>
                <w:rFonts w:ascii="Times New Roman" w:hAnsi="Times New Roman" w:cs="Times New Roman"/>
                <w:b/>
                <w:bCs/>
                <w:sz w:val="26"/>
                <w:szCs w:val="26"/>
              </w:rPr>
            </w:pPr>
            <w:r w:rsidRPr="00231455">
              <w:rPr>
                <w:rFonts w:ascii="Times New Roman" w:hAnsi="Times New Roman" w:cs="Times New Roman"/>
                <w:b/>
                <w:bCs/>
                <w:sz w:val="26"/>
                <w:szCs w:val="26"/>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400" w:type="dxa"/>
            <w:gridSpan w:val="6"/>
          </w:tcPr>
          <w:p w:rsidR="00B95EB1" w:rsidRPr="00231455" w:rsidRDefault="00B95EB1" w:rsidP="00A87583">
            <w:pPr>
              <w:tabs>
                <w:tab w:val="left" w:pos="3960"/>
              </w:tabs>
              <w:spacing w:after="0"/>
              <w:jc w:val="both"/>
              <w:rPr>
                <w:rFonts w:ascii="Times New Roman" w:hAnsi="Times New Roman" w:cs="Times New Roman"/>
                <w:b/>
                <w:bCs/>
                <w:sz w:val="24"/>
                <w:szCs w:val="24"/>
              </w:rPr>
            </w:pPr>
            <w:r w:rsidRPr="00231455">
              <w:rPr>
                <w:rFonts w:ascii="Times New Roman" w:hAnsi="Times New Roman" w:cs="Times New Roman"/>
                <w:sz w:val="24"/>
                <w:szCs w:val="24"/>
              </w:rPr>
              <w:t>Proiectul de act normativ nu se referă la acest subiect.</w:t>
            </w:r>
          </w:p>
        </w:tc>
      </w:tr>
      <w:tr w:rsidR="00B95EB1" w:rsidRPr="00231455" w:rsidTr="0074749D">
        <w:tc>
          <w:tcPr>
            <w:tcW w:w="4534" w:type="dxa"/>
            <w:gridSpan w:val="3"/>
          </w:tcPr>
          <w:p w:rsidR="00B95EB1" w:rsidRPr="00231455" w:rsidRDefault="00B95EB1" w:rsidP="00582A93">
            <w:pPr>
              <w:tabs>
                <w:tab w:val="left" w:pos="3960"/>
              </w:tabs>
              <w:spacing w:after="0" w:line="240" w:lineRule="auto"/>
              <w:jc w:val="both"/>
              <w:rPr>
                <w:rFonts w:ascii="Times New Roman" w:hAnsi="Times New Roman" w:cs="Times New Roman"/>
                <w:b/>
                <w:bCs/>
                <w:sz w:val="26"/>
                <w:szCs w:val="26"/>
              </w:rPr>
            </w:pPr>
            <w:r w:rsidRPr="00231455">
              <w:rPr>
                <w:rFonts w:ascii="Times New Roman" w:hAnsi="Times New Roman" w:cs="Times New Roman"/>
                <w:b/>
                <w:bCs/>
                <w:sz w:val="26"/>
                <w:szCs w:val="26"/>
              </w:rPr>
              <w:t>4. Consultările desfăşurate în cadrul consiliilor interministeriale în conformitate cu prevederile Hotărârii Guvernului nr.750/2005 privind constituirea consiliilor interministeriale permanente</w:t>
            </w:r>
          </w:p>
        </w:tc>
        <w:tc>
          <w:tcPr>
            <w:tcW w:w="5400" w:type="dxa"/>
            <w:gridSpan w:val="6"/>
          </w:tcPr>
          <w:p w:rsidR="00B95EB1" w:rsidRPr="00231455" w:rsidRDefault="00B95EB1" w:rsidP="00A87583">
            <w:pPr>
              <w:tabs>
                <w:tab w:val="left" w:pos="3960"/>
              </w:tabs>
              <w:spacing w:after="0"/>
              <w:jc w:val="both"/>
              <w:rPr>
                <w:rFonts w:ascii="Times New Roman" w:hAnsi="Times New Roman" w:cs="Times New Roman"/>
                <w:sz w:val="24"/>
                <w:szCs w:val="24"/>
              </w:rPr>
            </w:pPr>
            <w:r w:rsidRPr="00231455">
              <w:rPr>
                <w:rFonts w:ascii="Times New Roman" w:hAnsi="Times New Roman" w:cs="Times New Roman"/>
                <w:sz w:val="24"/>
                <w:szCs w:val="24"/>
              </w:rPr>
              <w:t>Proiectul de act normativ nu se referă la acest subiect.</w:t>
            </w:r>
          </w:p>
        </w:tc>
      </w:tr>
      <w:tr w:rsidR="00B95EB1" w:rsidRPr="00231455" w:rsidTr="0074749D">
        <w:trPr>
          <w:trHeight w:val="400"/>
        </w:trPr>
        <w:tc>
          <w:tcPr>
            <w:tcW w:w="4534" w:type="dxa"/>
            <w:gridSpan w:val="3"/>
          </w:tcPr>
          <w:p w:rsidR="00B95EB1" w:rsidRPr="00231455" w:rsidRDefault="00B95EB1" w:rsidP="00F45307">
            <w:pPr>
              <w:tabs>
                <w:tab w:val="left" w:pos="3960"/>
              </w:tabs>
              <w:autoSpaceDE w:val="0"/>
              <w:autoSpaceDN w:val="0"/>
              <w:adjustRightInd w:val="0"/>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5. Informaţii privind avizarea de către:</w:t>
            </w:r>
          </w:p>
        </w:tc>
        <w:tc>
          <w:tcPr>
            <w:tcW w:w="5400" w:type="dxa"/>
            <w:gridSpan w:val="6"/>
          </w:tcPr>
          <w:p w:rsidR="00B95EB1" w:rsidRPr="00231455" w:rsidRDefault="00B95EB1" w:rsidP="00F45307">
            <w:pPr>
              <w:tabs>
                <w:tab w:val="left" w:pos="3960"/>
              </w:tabs>
              <w:autoSpaceDE w:val="0"/>
              <w:autoSpaceDN w:val="0"/>
              <w:adjustRightInd w:val="0"/>
              <w:spacing w:after="0"/>
              <w:jc w:val="both"/>
              <w:rPr>
                <w:rFonts w:ascii="Times New Roman" w:hAnsi="Times New Roman" w:cs="Times New Roman"/>
                <w:sz w:val="26"/>
                <w:szCs w:val="26"/>
              </w:rPr>
            </w:pPr>
          </w:p>
        </w:tc>
      </w:tr>
      <w:tr w:rsidR="00B95EB1" w:rsidRPr="00231455" w:rsidTr="0074749D">
        <w:trPr>
          <w:trHeight w:val="400"/>
        </w:trPr>
        <w:tc>
          <w:tcPr>
            <w:tcW w:w="4534" w:type="dxa"/>
            <w:gridSpan w:val="3"/>
          </w:tcPr>
          <w:p w:rsidR="00B95EB1" w:rsidRPr="00231455" w:rsidRDefault="00B95EB1" w:rsidP="00A87583">
            <w:pPr>
              <w:tabs>
                <w:tab w:val="left" w:pos="3960"/>
              </w:tabs>
              <w:autoSpaceDE w:val="0"/>
              <w:autoSpaceDN w:val="0"/>
              <w:adjustRightInd w:val="0"/>
              <w:spacing w:after="0"/>
              <w:jc w:val="both"/>
              <w:rPr>
                <w:rFonts w:ascii="Times New Roman" w:hAnsi="Times New Roman" w:cs="Times New Roman"/>
                <w:bCs/>
                <w:sz w:val="26"/>
                <w:szCs w:val="26"/>
              </w:rPr>
            </w:pPr>
            <w:r w:rsidRPr="00231455">
              <w:rPr>
                <w:rFonts w:ascii="Times New Roman" w:hAnsi="Times New Roman" w:cs="Times New Roman"/>
                <w:bCs/>
                <w:sz w:val="26"/>
                <w:szCs w:val="26"/>
              </w:rPr>
              <w:t>a) Consiliul Legislativ</w:t>
            </w:r>
          </w:p>
        </w:tc>
        <w:tc>
          <w:tcPr>
            <w:tcW w:w="5400" w:type="dxa"/>
            <w:gridSpan w:val="6"/>
          </w:tcPr>
          <w:p w:rsidR="00B95EB1" w:rsidRPr="00231455" w:rsidRDefault="00B95EB1" w:rsidP="0074749D">
            <w:pPr>
              <w:rPr>
                <w:rFonts w:ascii="Times New Roman" w:hAnsi="Times New Roman" w:cs="Times New Roman"/>
                <w:noProof/>
                <w:sz w:val="24"/>
                <w:szCs w:val="24"/>
              </w:rPr>
            </w:pPr>
            <w:r w:rsidRPr="00231455">
              <w:rPr>
                <w:rFonts w:ascii="Times New Roman" w:hAnsi="Times New Roman" w:cs="Times New Roman"/>
                <w:noProof/>
                <w:sz w:val="24"/>
                <w:szCs w:val="24"/>
              </w:rPr>
              <w:t>Se supune avizului Consiliului Legislativ.</w:t>
            </w:r>
          </w:p>
        </w:tc>
      </w:tr>
      <w:tr w:rsidR="00B95EB1" w:rsidRPr="00231455" w:rsidTr="0074749D">
        <w:trPr>
          <w:trHeight w:val="400"/>
        </w:trPr>
        <w:tc>
          <w:tcPr>
            <w:tcW w:w="4534" w:type="dxa"/>
            <w:gridSpan w:val="3"/>
          </w:tcPr>
          <w:p w:rsidR="00B95EB1" w:rsidRPr="00231455" w:rsidRDefault="00B95EB1" w:rsidP="00A87583">
            <w:pPr>
              <w:tabs>
                <w:tab w:val="left" w:pos="3960"/>
              </w:tabs>
              <w:autoSpaceDE w:val="0"/>
              <w:autoSpaceDN w:val="0"/>
              <w:adjustRightInd w:val="0"/>
              <w:spacing w:after="0"/>
              <w:jc w:val="both"/>
              <w:rPr>
                <w:rFonts w:ascii="Times New Roman" w:hAnsi="Times New Roman" w:cs="Times New Roman"/>
                <w:bCs/>
                <w:sz w:val="26"/>
                <w:szCs w:val="26"/>
              </w:rPr>
            </w:pPr>
            <w:r w:rsidRPr="00231455">
              <w:rPr>
                <w:rFonts w:ascii="Times New Roman" w:hAnsi="Times New Roman" w:cs="Times New Roman"/>
                <w:bCs/>
                <w:sz w:val="26"/>
                <w:szCs w:val="26"/>
              </w:rPr>
              <w:t>b) Consiliul Suprem de Apărare a Ţării</w:t>
            </w:r>
          </w:p>
        </w:tc>
        <w:tc>
          <w:tcPr>
            <w:tcW w:w="5400" w:type="dxa"/>
            <w:gridSpan w:val="6"/>
          </w:tcPr>
          <w:p w:rsidR="00B95EB1" w:rsidRPr="00231455" w:rsidRDefault="00B95EB1" w:rsidP="00A87583">
            <w:pPr>
              <w:tabs>
                <w:tab w:val="left" w:pos="3960"/>
              </w:tabs>
              <w:autoSpaceDE w:val="0"/>
              <w:autoSpaceDN w:val="0"/>
              <w:adjustRightInd w:val="0"/>
              <w:spacing w:after="0"/>
              <w:jc w:val="both"/>
              <w:rPr>
                <w:rFonts w:ascii="Times New Roman" w:hAnsi="Times New Roman" w:cs="Times New Roman"/>
                <w:b/>
                <w:bCs/>
                <w:sz w:val="26"/>
                <w:szCs w:val="26"/>
              </w:rPr>
            </w:pPr>
          </w:p>
        </w:tc>
      </w:tr>
      <w:tr w:rsidR="00B95EB1" w:rsidRPr="00231455" w:rsidTr="0074749D">
        <w:trPr>
          <w:trHeight w:val="400"/>
        </w:trPr>
        <w:tc>
          <w:tcPr>
            <w:tcW w:w="4534" w:type="dxa"/>
            <w:gridSpan w:val="3"/>
          </w:tcPr>
          <w:p w:rsidR="00B95EB1" w:rsidRPr="00231455" w:rsidRDefault="00B95EB1" w:rsidP="00A87583">
            <w:pPr>
              <w:tabs>
                <w:tab w:val="left" w:pos="3960"/>
              </w:tabs>
              <w:autoSpaceDE w:val="0"/>
              <w:autoSpaceDN w:val="0"/>
              <w:adjustRightInd w:val="0"/>
              <w:spacing w:after="0"/>
              <w:jc w:val="both"/>
              <w:rPr>
                <w:rFonts w:ascii="Times New Roman" w:hAnsi="Times New Roman" w:cs="Times New Roman"/>
                <w:bCs/>
                <w:sz w:val="26"/>
                <w:szCs w:val="26"/>
              </w:rPr>
            </w:pPr>
            <w:r w:rsidRPr="00231455">
              <w:rPr>
                <w:rFonts w:ascii="Times New Roman" w:hAnsi="Times New Roman" w:cs="Times New Roman"/>
                <w:bCs/>
                <w:sz w:val="26"/>
                <w:szCs w:val="26"/>
              </w:rPr>
              <w:t>c) Consiliul Economic şi Social</w:t>
            </w:r>
          </w:p>
        </w:tc>
        <w:tc>
          <w:tcPr>
            <w:tcW w:w="5400" w:type="dxa"/>
            <w:gridSpan w:val="6"/>
          </w:tcPr>
          <w:p w:rsidR="00B95EB1" w:rsidRPr="00231455" w:rsidRDefault="00B95EB1" w:rsidP="00A87583">
            <w:pPr>
              <w:tabs>
                <w:tab w:val="left" w:pos="3960"/>
              </w:tabs>
              <w:autoSpaceDE w:val="0"/>
              <w:autoSpaceDN w:val="0"/>
              <w:adjustRightInd w:val="0"/>
              <w:spacing w:after="0"/>
              <w:jc w:val="both"/>
              <w:rPr>
                <w:rFonts w:ascii="Times New Roman" w:hAnsi="Times New Roman" w:cs="Times New Roman"/>
                <w:b/>
                <w:bCs/>
                <w:sz w:val="26"/>
                <w:szCs w:val="26"/>
              </w:rPr>
            </w:pPr>
          </w:p>
        </w:tc>
      </w:tr>
      <w:tr w:rsidR="00B95EB1" w:rsidRPr="00231455" w:rsidTr="0074749D">
        <w:trPr>
          <w:trHeight w:val="400"/>
        </w:trPr>
        <w:tc>
          <w:tcPr>
            <w:tcW w:w="4534" w:type="dxa"/>
            <w:gridSpan w:val="3"/>
          </w:tcPr>
          <w:p w:rsidR="00B95EB1" w:rsidRPr="00231455" w:rsidRDefault="00B95EB1" w:rsidP="00A87583">
            <w:pPr>
              <w:tabs>
                <w:tab w:val="left" w:pos="3960"/>
              </w:tabs>
              <w:autoSpaceDE w:val="0"/>
              <w:autoSpaceDN w:val="0"/>
              <w:adjustRightInd w:val="0"/>
              <w:spacing w:after="0"/>
              <w:jc w:val="both"/>
              <w:rPr>
                <w:rFonts w:ascii="Times New Roman" w:hAnsi="Times New Roman" w:cs="Times New Roman"/>
                <w:bCs/>
                <w:sz w:val="26"/>
                <w:szCs w:val="26"/>
              </w:rPr>
            </w:pPr>
            <w:r w:rsidRPr="00231455">
              <w:rPr>
                <w:rFonts w:ascii="Times New Roman" w:hAnsi="Times New Roman" w:cs="Times New Roman"/>
                <w:bCs/>
                <w:sz w:val="26"/>
                <w:szCs w:val="26"/>
              </w:rPr>
              <w:t xml:space="preserve">d) Consiliul Concurenţei </w:t>
            </w:r>
          </w:p>
        </w:tc>
        <w:tc>
          <w:tcPr>
            <w:tcW w:w="5400" w:type="dxa"/>
            <w:gridSpan w:val="6"/>
          </w:tcPr>
          <w:p w:rsidR="00B95EB1" w:rsidRPr="00231455" w:rsidRDefault="00B95EB1" w:rsidP="00A87583">
            <w:pPr>
              <w:tabs>
                <w:tab w:val="left" w:pos="3960"/>
              </w:tabs>
              <w:autoSpaceDE w:val="0"/>
              <w:autoSpaceDN w:val="0"/>
              <w:adjustRightInd w:val="0"/>
              <w:spacing w:after="0"/>
              <w:jc w:val="both"/>
              <w:rPr>
                <w:rFonts w:ascii="Times New Roman" w:hAnsi="Times New Roman" w:cs="Times New Roman"/>
                <w:b/>
                <w:bCs/>
                <w:sz w:val="26"/>
                <w:szCs w:val="26"/>
              </w:rPr>
            </w:pPr>
          </w:p>
        </w:tc>
      </w:tr>
      <w:tr w:rsidR="00B95EB1" w:rsidRPr="00231455" w:rsidTr="0074749D">
        <w:trPr>
          <w:trHeight w:val="400"/>
        </w:trPr>
        <w:tc>
          <w:tcPr>
            <w:tcW w:w="4534" w:type="dxa"/>
            <w:gridSpan w:val="3"/>
          </w:tcPr>
          <w:p w:rsidR="00B95EB1" w:rsidRPr="00231455" w:rsidRDefault="00B95EB1" w:rsidP="00F45307">
            <w:pPr>
              <w:tabs>
                <w:tab w:val="left" w:pos="3960"/>
              </w:tabs>
              <w:spacing w:after="0"/>
              <w:jc w:val="both"/>
              <w:rPr>
                <w:rFonts w:ascii="Times New Roman" w:hAnsi="Times New Roman" w:cs="Times New Roman"/>
                <w:bCs/>
                <w:sz w:val="26"/>
                <w:szCs w:val="26"/>
              </w:rPr>
            </w:pPr>
            <w:r w:rsidRPr="00231455">
              <w:rPr>
                <w:rFonts w:ascii="Times New Roman" w:hAnsi="Times New Roman" w:cs="Times New Roman"/>
                <w:bCs/>
                <w:sz w:val="26"/>
                <w:szCs w:val="26"/>
              </w:rPr>
              <w:t>e) Curtea de Conturi</w:t>
            </w:r>
          </w:p>
        </w:tc>
        <w:tc>
          <w:tcPr>
            <w:tcW w:w="5400" w:type="dxa"/>
            <w:gridSpan w:val="6"/>
          </w:tcPr>
          <w:p w:rsidR="00B95EB1" w:rsidRPr="00231455" w:rsidRDefault="00B95EB1" w:rsidP="00A87583">
            <w:pPr>
              <w:tabs>
                <w:tab w:val="left" w:pos="3960"/>
              </w:tabs>
              <w:autoSpaceDE w:val="0"/>
              <w:autoSpaceDN w:val="0"/>
              <w:adjustRightInd w:val="0"/>
              <w:spacing w:after="0"/>
              <w:jc w:val="both"/>
              <w:rPr>
                <w:rFonts w:ascii="Times New Roman" w:hAnsi="Times New Roman" w:cs="Times New Roman"/>
                <w:b/>
                <w:bCs/>
                <w:sz w:val="26"/>
                <w:szCs w:val="26"/>
              </w:rPr>
            </w:pPr>
          </w:p>
        </w:tc>
      </w:tr>
      <w:tr w:rsidR="00B95EB1" w:rsidRPr="00231455" w:rsidTr="0074749D">
        <w:tc>
          <w:tcPr>
            <w:tcW w:w="4534" w:type="dxa"/>
            <w:gridSpan w:val="3"/>
          </w:tcPr>
          <w:p w:rsidR="00B95EB1" w:rsidRPr="00231455" w:rsidRDefault="00B95EB1" w:rsidP="00A87583">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6. Alte informaţii</w:t>
            </w:r>
          </w:p>
        </w:tc>
        <w:tc>
          <w:tcPr>
            <w:tcW w:w="5400" w:type="dxa"/>
            <w:gridSpan w:val="6"/>
          </w:tcPr>
          <w:p w:rsidR="00B95EB1" w:rsidRPr="00231455" w:rsidRDefault="00B95EB1" w:rsidP="00A87583">
            <w:pPr>
              <w:tabs>
                <w:tab w:val="left" w:pos="3960"/>
              </w:tabs>
              <w:spacing w:after="0"/>
              <w:jc w:val="both"/>
              <w:rPr>
                <w:rFonts w:ascii="Times New Roman" w:hAnsi="Times New Roman" w:cs="Times New Roman"/>
                <w:sz w:val="26"/>
                <w:szCs w:val="26"/>
              </w:rPr>
            </w:pPr>
            <w:r w:rsidRPr="00231455">
              <w:rPr>
                <w:rFonts w:ascii="Times New Roman" w:hAnsi="Times New Roman" w:cs="Times New Roman"/>
                <w:bCs/>
                <w:sz w:val="26"/>
                <w:szCs w:val="26"/>
              </w:rPr>
              <w:t>Nu sunt.</w:t>
            </w:r>
          </w:p>
        </w:tc>
      </w:tr>
      <w:tr w:rsidR="00B95EB1" w:rsidRPr="00231455" w:rsidTr="00C11A4B">
        <w:tc>
          <w:tcPr>
            <w:tcW w:w="9934" w:type="dxa"/>
            <w:gridSpan w:val="9"/>
          </w:tcPr>
          <w:p w:rsidR="00B95EB1" w:rsidRPr="00231455" w:rsidRDefault="00B95EB1" w:rsidP="00A87583">
            <w:pPr>
              <w:tabs>
                <w:tab w:val="left" w:pos="3960"/>
              </w:tabs>
              <w:spacing w:after="0"/>
              <w:jc w:val="center"/>
              <w:rPr>
                <w:rFonts w:ascii="Times New Roman" w:hAnsi="Times New Roman" w:cs="Times New Roman"/>
                <w:b/>
                <w:bCs/>
                <w:sz w:val="26"/>
                <w:szCs w:val="26"/>
              </w:rPr>
            </w:pPr>
          </w:p>
          <w:p w:rsidR="00B95EB1" w:rsidRPr="00231455" w:rsidRDefault="00B95EB1" w:rsidP="00A87583">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Secţiunea a 7-a</w:t>
            </w:r>
          </w:p>
          <w:p w:rsidR="00B95EB1" w:rsidRPr="00231455" w:rsidRDefault="00B95EB1" w:rsidP="00A87583">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 xml:space="preserve">Activităţi de informare publică privind elaborarea </w:t>
            </w:r>
          </w:p>
          <w:p w:rsidR="00B95EB1" w:rsidRPr="00231455" w:rsidRDefault="00B95EB1" w:rsidP="00EE5D74">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şi implementarea proiectului de act normativ</w:t>
            </w:r>
          </w:p>
          <w:p w:rsidR="00B95EB1" w:rsidRPr="00231455" w:rsidRDefault="00B95EB1" w:rsidP="00EE5D74">
            <w:pPr>
              <w:tabs>
                <w:tab w:val="left" w:pos="3960"/>
              </w:tabs>
              <w:spacing w:after="0"/>
              <w:jc w:val="center"/>
              <w:rPr>
                <w:rFonts w:ascii="Times New Roman" w:hAnsi="Times New Roman" w:cs="Times New Roman"/>
                <w:b/>
                <w:bCs/>
                <w:sz w:val="26"/>
                <w:szCs w:val="26"/>
              </w:rPr>
            </w:pPr>
          </w:p>
        </w:tc>
      </w:tr>
      <w:tr w:rsidR="00B95EB1" w:rsidRPr="00231455" w:rsidTr="0074749D">
        <w:trPr>
          <w:trHeight w:val="1105"/>
        </w:trPr>
        <w:tc>
          <w:tcPr>
            <w:tcW w:w="4534" w:type="dxa"/>
            <w:gridSpan w:val="3"/>
          </w:tcPr>
          <w:p w:rsidR="00B95EB1" w:rsidRPr="00231455" w:rsidRDefault="00B95EB1" w:rsidP="0074749D">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1. Informarea societăţii civile cu privire la necesitatea elaborării proiectului de act normativ</w:t>
            </w:r>
          </w:p>
        </w:tc>
        <w:tc>
          <w:tcPr>
            <w:tcW w:w="5400" w:type="dxa"/>
            <w:gridSpan w:val="6"/>
          </w:tcPr>
          <w:p w:rsidR="00B95EB1" w:rsidRPr="00C747C0" w:rsidRDefault="00B95EB1" w:rsidP="0074749D">
            <w:pPr>
              <w:tabs>
                <w:tab w:val="left" w:pos="3960"/>
              </w:tabs>
              <w:spacing w:after="0"/>
              <w:jc w:val="both"/>
              <w:rPr>
                <w:rFonts w:ascii="Times New Roman" w:hAnsi="Times New Roman" w:cs="Times New Roman"/>
                <w:sz w:val="24"/>
                <w:szCs w:val="24"/>
              </w:rPr>
            </w:pPr>
            <w:r w:rsidRPr="00C747C0">
              <w:rPr>
                <w:rFonts w:ascii="Times New Roman" w:hAnsi="Times New Roman" w:cs="Times New Roman"/>
                <w:noProof/>
                <w:sz w:val="24"/>
                <w:szCs w:val="24"/>
              </w:rPr>
              <w:t>Prezentul act normativ a respectat prevederile Legii nr. 52/2003 privind transparenţa decizională în administraţia publică fiind afişat pe site-ul Casei Na</w:t>
            </w:r>
            <w:r w:rsidRPr="00C747C0">
              <w:rPr>
                <w:rFonts w:ascii="Tahoma" w:hAnsi="Tahoma" w:cs="Times New Roman"/>
                <w:noProof/>
                <w:sz w:val="24"/>
                <w:szCs w:val="24"/>
              </w:rPr>
              <w:t>ț</w:t>
            </w:r>
            <w:r w:rsidRPr="00C747C0">
              <w:rPr>
                <w:rFonts w:ascii="Times New Roman" w:hAnsi="Times New Roman" w:cs="Times New Roman"/>
                <w:noProof/>
                <w:sz w:val="24"/>
                <w:szCs w:val="24"/>
              </w:rPr>
              <w:t>ionale de Asigurări de Sănătate.</w:t>
            </w:r>
          </w:p>
        </w:tc>
      </w:tr>
      <w:tr w:rsidR="00B95EB1" w:rsidRPr="00231455" w:rsidTr="0074749D">
        <w:trPr>
          <w:trHeight w:val="1105"/>
        </w:trPr>
        <w:tc>
          <w:tcPr>
            <w:tcW w:w="4534" w:type="dxa"/>
            <w:gridSpan w:val="3"/>
          </w:tcPr>
          <w:p w:rsidR="00B95EB1" w:rsidRPr="00231455" w:rsidRDefault="00B95EB1" w:rsidP="00A87583">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2. Informarea societăţii civile cu privire la eventualul impact asupra mediului în urma implementării proiectului de act normativ, precum şi efectele asupra sănătăţii şi securităţii cetăţenilor sau diversităţii biologice</w:t>
            </w:r>
          </w:p>
        </w:tc>
        <w:tc>
          <w:tcPr>
            <w:tcW w:w="5400" w:type="dxa"/>
            <w:gridSpan w:val="6"/>
          </w:tcPr>
          <w:p w:rsidR="00B95EB1" w:rsidRPr="00C747C0" w:rsidRDefault="00B95EB1" w:rsidP="00474AA2">
            <w:pPr>
              <w:tabs>
                <w:tab w:val="left" w:pos="3960"/>
              </w:tabs>
              <w:spacing w:after="0"/>
              <w:jc w:val="both"/>
              <w:rPr>
                <w:rFonts w:ascii="Times New Roman" w:hAnsi="Times New Roman" w:cs="Times New Roman"/>
                <w:b/>
                <w:bCs/>
                <w:sz w:val="24"/>
                <w:szCs w:val="24"/>
              </w:rPr>
            </w:pPr>
          </w:p>
        </w:tc>
      </w:tr>
      <w:tr w:rsidR="00B95EB1" w:rsidRPr="00231455" w:rsidTr="0074749D">
        <w:trPr>
          <w:trHeight w:val="525"/>
        </w:trPr>
        <w:tc>
          <w:tcPr>
            <w:tcW w:w="4534" w:type="dxa"/>
            <w:gridSpan w:val="3"/>
          </w:tcPr>
          <w:p w:rsidR="00B95EB1" w:rsidRPr="00231455" w:rsidRDefault="00B95EB1" w:rsidP="00A87583">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3. Alte informa</w:t>
            </w:r>
            <w:r w:rsidRPr="00231455">
              <w:rPr>
                <w:rFonts w:ascii="Tahoma" w:hAnsi="Tahoma" w:cs="Tahoma"/>
                <w:b/>
                <w:bCs/>
                <w:sz w:val="26"/>
                <w:szCs w:val="26"/>
              </w:rPr>
              <w:t>ț</w:t>
            </w:r>
            <w:r w:rsidRPr="00231455">
              <w:rPr>
                <w:rFonts w:ascii="Times New Roman" w:hAnsi="Times New Roman" w:cs="Times New Roman"/>
                <w:b/>
                <w:bCs/>
                <w:sz w:val="26"/>
                <w:szCs w:val="26"/>
              </w:rPr>
              <w:t>ii</w:t>
            </w:r>
          </w:p>
        </w:tc>
        <w:tc>
          <w:tcPr>
            <w:tcW w:w="5400" w:type="dxa"/>
            <w:gridSpan w:val="6"/>
          </w:tcPr>
          <w:p w:rsidR="00B95EB1" w:rsidRPr="00C747C0" w:rsidRDefault="00B95EB1" w:rsidP="00A87583">
            <w:pPr>
              <w:tabs>
                <w:tab w:val="left" w:pos="3960"/>
              </w:tabs>
              <w:spacing w:after="0"/>
              <w:jc w:val="both"/>
              <w:rPr>
                <w:rFonts w:ascii="Times New Roman" w:hAnsi="Times New Roman" w:cs="Times New Roman"/>
                <w:b/>
                <w:bCs/>
                <w:sz w:val="24"/>
                <w:szCs w:val="24"/>
              </w:rPr>
            </w:pPr>
            <w:r w:rsidRPr="00C747C0">
              <w:rPr>
                <w:rFonts w:ascii="Times New Roman" w:hAnsi="Times New Roman" w:cs="Times New Roman"/>
                <w:bCs/>
                <w:sz w:val="24"/>
                <w:szCs w:val="24"/>
              </w:rPr>
              <w:t>Nu sunt</w:t>
            </w:r>
          </w:p>
        </w:tc>
      </w:tr>
      <w:tr w:rsidR="00B95EB1" w:rsidRPr="00231455" w:rsidTr="00C11A4B">
        <w:tc>
          <w:tcPr>
            <w:tcW w:w="9934" w:type="dxa"/>
            <w:gridSpan w:val="9"/>
          </w:tcPr>
          <w:p w:rsidR="00B95EB1" w:rsidRPr="00231455" w:rsidRDefault="00B95EB1" w:rsidP="00A87583">
            <w:pPr>
              <w:tabs>
                <w:tab w:val="left" w:pos="3960"/>
              </w:tabs>
              <w:spacing w:after="0"/>
              <w:jc w:val="center"/>
              <w:rPr>
                <w:rFonts w:ascii="Times New Roman" w:hAnsi="Times New Roman" w:cs="Times New Roman"/>
                <w:sz w:val="26"/>
                <w:szCs w:val="26"/>
              </w:rPr>
            </w:pPr>
            <w:r w:rsidRPr="00231455">
              <w:rPr>
                <w:rFonts w:ascii="Times New Roman" w:hAnsi="Times New Roman" w:cs="Times New Roman"/>
                <w:b/>
                <w:bCs/>
                <w:sz w:val="26"/>
                <w:szCs w:val="26"/>
              </w:rPr>
              <w:t>Secţiunea a 8-a</w:t>
            </w:r>
          </w:p>
          <w:p w:rsidR="00B95EB1" w:rsidRPr="00231455" w:rsidRDefault="00B95EB1" w:rsidP="00B21E3A">
            <w:pPr>
              <w:tabs>
                <w:tab w:val="left" w:pos="3960"/>
              </w:tabs>
              <w:spacing w:after="0"/>
              <w:jc w:val="center"/>
              <w:rPr>
                <w:rFonts w:ascii="Times New Roman" w:hAnsi="Times New Roman" w:cs="Times New Roman"/>
                <w:b/>
                <w:bCs/>
                <w:sz w:val="26"/>
                <w:szCs w:val="26"/>
              </w:rPr>
            </w:pPr>
            <w:r w:rsidRPr="00231455">
              <w:rPr>
                <w:rFonts w:ascii="Times New Roman" w:hAnsi="Times New Roman" w:cs="Times New Roman"/>
                <w:b/>
                <w:bCs/>
                <w:sz w:val="26"/>
                <w:szCs w:val="26"/>
              </w:rPr>
              <w:t>Măsuri de implementare</w:t>
            </w:r>
          </w:p>
        </w:tc>
      </w:tr>
      <w:tr w:rsidR="00B95EB1" w:rsidRPr="00231455" w:rsidTr="0074749D">
        <w:tc>
          <w:tcPr>
            <w:tcW w:w="4534" w:type="dxa"/>
            <w:gridSpan w:val="3"/>
          </w:tcPr>
          <w:p w:rsidR="00B95EB1" w:rsidRPr="00231455" w:rsidRDefault="00B95EB1" w:rsidP="00A87583">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1. Măsurile de punere în aplicare a proiectului de act normativ de către autorităţile administraţiei publice centrale şi/sau locale - înfiinţarea unor noi organisme sau  extinderea competenţelor instituţiilor existente</w:t>
            </w:r>
          </w:p>
        </w:tc>
        <w:tc>
          <w:tcPr>
            <w:tcW w:w="5400" w:type="dxa"/>
            <w:gridSpan w:val="6"/>
          </w:tcPr>
          <w:p w:rsidR="00B95EB1" w:rsidRPr="00C747C0" w:rsidRDefault="00B95EB1" w:rsidP="00233E0E">
            <w:pPr>
              <w:tabs>
                <w:tab w:val="left" w:pos="990"/>
                <w:tab w:val="left" w:pos="3960"/>
              </w:tabs>
              <w:spacing w:after="0"/>
              <w:jc w:val="both"/>
              <w:rPr>
                <w:rFonts w:ascii="Times New Roman" w:hAnsi="Times New Roman" w:cs="Times New Roman"/>
                <w:sz w:val="24"/>
                <w:szCs w:val="24"/>
              </w:rPr>
            </w:pPr>
            <w:r w:rsidRPr="00C747C0">
              <w:rPr>
                <w:rFonts w:ascii="Times New Roman" w:hAnsi="Times New Roman" w:cs="Times New Roman"/>
                <w:sz w:val="24"/>
                <w:szCs w:val="24"/>
              </w:rPr>
              <w:t>Proiectul de act normativ nu se referă la acest subiect.</w:t>
            </w:r>
          </w:p>
        </w:tc>
      </w:tr>
      <w:tr w:rsidR="00B95EB1" w:rsidRPr="00231455" w:rsidTr="0074749D">
        <w:tc>
          <w:tcPr>
            <w:tcW w:w="4534" w:type="dxa"/>
            <w:gridSpan w:val="3"/>
          </w:tcPr>
          <w:p w:rsidR="00B95EB1" w:rsidRPr="00231455" w:rsidRDefault="00B95EB1" w:rsidP="00A87583">
            <w:pPr>
              <w:tabs>
                <w:tab w:val="left" w:pos="3960"/>
              </w:tabs>
              <w:spacing w:after="0"/>
              <w:jc w:val="both"/>
              <w:rPr>
                <w:rFonts w:ascii="Times New Roman" w:hAnsi="Times New Roman" w:cs="Times New Roman"/>
                <w:b/>
                <w:bCs/>
                <w:sz w:val="26"/>
                <w:szCs w:val="26"/>
              </w:rPr>
            </w:pPr>
            <w:r w:rsidRPr="00231455">
              <w:rPr>
                <w:rFonts w:ascii="Times New Roman" w:hAnsi="Times New Roman" w:cs="Times New Roman"/>
                <w:b/>
                <w:bCs/>
                <w:sz w:val="26"/>
                <w:szCs w:val="26"/>
              </w:rPr>
              <w:t>2. Alte informaţii</w:t>
            </w:r>
          </w:p>
        </w:tc>
        <w:tc>
          <w:tcPr>
            <w:tcW w:w="5400" w:type="dxa"/>
            <w:gridSpan w:val="6"/>
          </w:tcPr>
          <w:p w:rsidR="00B95EB1" w:rsidRPr="00C747C0" w:rsidRDefault="00B95EB1" w:rsidP="00A87583">
            <w:pPr>
              <w:tabs>
                <w:tab w:val="left" w:pos="3960"/>
              </w:tabs>
              <w:spacing w:after="0"/>
              <w:jc w:val="both"/>
              <w:rPr>
                <w:rFonts w:ascii="Times New Roman" w:hAnsi="Times New Roman" w:cs="Times New Roman"/>
                <w:sz w:val="24"/>
                <w:szCs w:val="24"/>
              </w:rPr>
            </w:pPr>
            <w:r w:rsidRPr="00C747C0">
              <w:rPr>
                <w:rFonts w:ascii="Times New Roman" w:hAnsi="Times New Roman" w:cs="Times New Roman"/>
                <w:sz w:val="24"/>
                <w:szCs w:val="24"/>
              </w:rPr>
              <w:t>Nu sunt.</w:t>
            </w:r>
          </w:p>
        </w:tc>
      </w:tr>
    </w:tbl>
    <w:p w:rsidR="00B95EB1" w:rsidRPr="00231455" w:rsidRDefault="00B95EB1" w:rsidP="00CD76AF">
      <w:pPr>
        <w:autoSpaceDE w:val="0"/>
        <w:autoSpaceDN w:val="0"/>
        <w:adjustRightInd w:val="0"/>
        <w:spacing w:after="0" w:line="240" w:lineRule="auto"/>
        <w:jc w:val="both"/>
        <w:rPr>
          <w:rFonts w:ascii="Times New Roman" w:hAnsi="Times New Roman" w:cs="Times New Roman"/>
          <w:sz w:val="26"/>
          <w:szCs w:val="26"/>
          <w:lang w:eastAsia="ro-RO"/>
        </w:rPr>
      </w:pPr>
      <w:r w:rsidRPr="00231455">
        <w:rPr>
          <w:rFonts w:ascii="Times New Roman" w:hAnsi="Times New Roman" w:cs="Times New Roman"/>
          <w:sz w:val="26"/>
          <w:szCs w:val="26"/>
          <w:lang w:eastAsia="ro-RO"/>
        </w:rPr>
        <w:t xml:space="preserve">  </w:t>
      </w:r>
    </w:p>
    <w:p w:rsidR="00B95EB1" w:rsidRDefault="00B95EB1" w:rsidP="001C67F9">
      <w:pPr>
        <w:autoSpaceDE w:val="0"/>
        <w:autoSpaceDN w:val="0"/>
        <w:adjustRightInd w:val="0"/>
        <w:spacing w:line="240" w:lineRule="auto"/>
        <w:ind w:firstLine="708"/>
        <w:jc w:val="both"/>
        <w:rPr>
          <w:rFonts w:ascii="Times New Roman" w:hAnsi="Times New Roman" w:cs="Times New Roman"/>
          <w:sz w:val="26"/>
          <w:szCs w:val="26"/>
          <w:lang w:eastAsia="ro-RO"/>
        </w:rPr>
      </w:pPr>
    </w:p>
    <w:p w:rsidR="00482E6B" w:rsidRPr="00231455" w:rsidRDefault="00482E6B" w:rsidP="001C67F9">
      <w:pPr>
        <w:autoSpaceDE w:val="0"/>
        <w:autoSpaceDN w:val="0"/>
        <w:adjustRightInd w:val="0"/>
        <w:spacing w:line="240" w:lineRule="auto"/>
        <w:ind w:firstLine="708"/>
        <w:jc w:val="both"/>
        <w:rPr>
          <w:rFonts w:ascii="Times New Roman" w:hAnsi="Times New Roman" w:cs="Times New Roman"/>
          <w:sz w:val="26"/>
          <w:szCs w:val="26"/>
          <w:lang w:eastAsia="ro-RO"/>
        </w:rPr>
      </w:pPr>
    </w:p>
    <w:p w:rsidR="00B95EB1" w:rsidRDefault="00B95EB1" w:rsidP="001C67F9">
      <w:pPr>
        <w:autoSpaceDE w:val="0"/>
        <w:autoSpaceDN w:val="0"/>
        <w:adjustRightInd w:val="0"/>
        <w:spacing w:line="240" w:lineRule="auto"/>
        <w:ind w:firstLine="708"/>
        <w:jc w:val="both"/>
        <w:rPr>
          <w:rFonts w:ascii="Times New Roman" w:hAnsi="Times New Roman" w:cs="Times New Roman"/>
          <w:sz w:val="26"/>
          <w:szCs w:val="26"/>
          <w:lang w:eastAsia="ro-RO"/>
        </w:rPr>
      </w:pPr>
      <w:r w:rsidRPr="00231455">
        <w:rPr>
          <w:rFonts w:ascii="Times New Roman" w:hAnsi="Times New Roman" w:cs="Times New Roman"/>
          <w:sz w:val="26"/>
          <w:szCs w:val="26"/>
          <w:lang w:eastAsia="ro-RO"/>
        </w:rPr>
        <w:t xml:space="preserve">Faţă de cele prezentate, a fost elaborat prezentul </w:t>
      </w:r>
      <w:r w:rsidRPr="00231455">
        <w:rPr>
          <w:rFonts w:ascii="Times New Roman" w:hAnsi="Times New Roman" w:cs="Times New Roman"/>
          <w:i/>
          <w:sz w:val="26"/>
          <w:szCs w:val="26"/>
          <w:lang w:eastAsia="ro-RO"/>
        </w:rPr>
        <w:t>proiect de</w:t>
      </w:r>
      <w:r w:rsidRPr="00231455">
        <w:rPr>
          <w:rFonts w:ascii="Times New Roman" w:hAnsi="Times New Roman" w:cs="Times New Roman"/>
          <w:b/>
          <w:bCs/>
          <w:i/>
          <w:sz w:val="26"/>
          <w:szCs w:val="26"/>
          <w:lang w:eastAsia="ro-RO"/>
        </w:rPr>
        <w:t xml:space="preserve"> </w:t>
      </w:r>
      <w:r w:rsidRPr="00231455">
        <w:rPr>
          <w:rFonts w:ascii="Times New Roman" w:hAnsi="Times New Roman" w:cs="Times New Roman"/>
          <w:i/>
          <w:sz w:val="26"/>
          <w:szCs w:val="26"/>
          <w:lang w:eastAsia="ro-RO"/>
        </w:rPr>
        <w:t>Hotărâre</w:t>
      </w:r>
      <w:r w:rsidRPr="00231455">
        <w:t xml:space="preserve"> </w:t>
      </w:r>
      <w:r w:rsidRPr="00231455">
        <w:rPr>
          <w:rFonts w:ascii="Times New Roman" w:hAnsi="Times New Roman" w:cs="Times New Roman"/>
          <w:b/>
          <w:i/>
          <w:noProof/>
          <w:sz w:val="24"/>
          <w:szCs w:val="24"/>
        </w:rPr>
        <w:t>pentru aprobarea pachetelor de servicii şi a Contractului-cadru care reglementează condiţiile acordării asistenţei medicale în cadrul sistemului de asigurări sociale de sănătate pentru anii 2016- 2017</w:t>
      </w:r>
      <w:r w:rsidRPr="00231455">
        <w:rPr>
          <w:rFonts w:ascii="Times New Roman" w:hAnsi="Times New Roman" w:cs="Times New Roman"/>
          <w:i/>
          <w:sz w:val="26"/>
          <w:szCs w:val="26"/>
          <w:lang w:eastAsia="ro-RO"/>
        </w:rPr>
        <w:t xml:space="preserve">, </w:t>
      </w:r>
      <w:r w:rsidRPr="00231455">
        <w:rPr>
          <w:rFonts w:ascii="Times New Roman" w:hAnsi="Times New Roman" w:cs="Times New Roman"/>
          <w:sz w:val="26"/>
          <w:szCs w:val="26"/>
          <w:lang w:eastAsia="ro-RO"/>
        </w:rPr>
        <w:t>pe care îl supunem Guvernului spre adoptare.</w:t>
      </w:r>
    </w:p>
    <w:p w:rsidR="00C747C0" w:rsidRPr="00231455" w:rsidRDefault="00C747C0" w:rsidP="001C67F9">
      <w:pPr>
        <w:autoSpaceDE w:val="0"/>
        <w:autoSpaceDN w:val="0"/>
        <w:adjustRightInd w:val="0"/>
        <w:spacing w:line="240" w:lineRule="auto"/>
        <w:ind w:firstLine="708"/>
        <w:jc w:val="both"/>
        <w:rPr>
          <w:rFonts w:ascii="Times New Roman" w:hAnsi="Times New Roman" w:cs="Times New Roman"/>
          <w:i/>
          <w:sz w:val="26"/>
          <w:szCs w:val="26"/>
          <w:lang w:eastAsia="ro-RO"/>
        </w:rPr>
      </w:pPr>
    </w:p>
    <w:p w:rsidR="00B95EB1" w:rsidRPr="00231455" w:rsidRDefault="00B95EB1" w:rsidP="001664A6">
      <w:pPr>
        <w:autoSpaceDE w:val="0"/>
        <w:autoSpaceDN w:val="0"/>
        <w:adjustRightInd w:val="0"/>
        <w:spacing w:after="0" w:line="240" w:lineRule="auto"/>
        <w:ind w:left="-567" w:firstLine="567"/>
        <w:jc w:val="both"/>
        <w:rPr>
          <w:rFonts w:ascii="Times New Roman" w:hAnsi="Times New Roman" w:cs="Times New Roman"/>
          <w:i/>
          <w:iCs/>
          <w:sz w:val="26"/>
          <w:szCs w:val="26"/>
        </w:rPr>
      </w:pPr>
    </w:p>
    <w:tbl>
      <w:tblPr>
        <w:tblW w:w="10016" w:type="dxa"/>
        <w:tblLayout w:type="fixed"/>
        <w:tblLook w:val="01E0" w:firstRow="1" w:lastRow="1" w:firstColumn="1" w:lastColumn="1" w:noHBand="0" w:noVBand="0"/>
      </w:tblPr>
      <w:tblGrid>
        <w:gridCol w:w="4788"/>
        <w:gridCol w:w="220"/>
        <w:gridCol w:w="5008"/>
      </w:tblGrid>
      <w:tr w:rsidR="00B95EB1" w:rsidRPr="00231455" w:rsidTr="00DF6EF6">
        <w:tc>
          <w:tcPr>
            <w:tcW w:w="5008" w:type="dxa"/>
            <w:gridSpan w:val="2"/>
          </w:tcPr>
          <w:p w:rsidR="00B95EB1" w:rsidRPr="00231455" w:rsidRDefault="00B95EB1" w:rsidP="00EF3C1D">
            <w:pPr>
              <w:spacing w:after="0" w:line="240" w:lineRule="auto"/>
              <w:jc w:val="center"/>
              <w:rPr>
                <w:rFonts w:ascii="Times New Roman" w:hAnsi="Times New Roman" w:cs="Times New Roman"/>
                <w:b/>
                <w:bCs/>
                <w:sz w:val="24"/>
                <w:szCs w:val="24"/>
                <w:lang w:eastAsia="ro-RO"/>
              </w:rPr>
            </w:pPr>
          </w:p>
          <w:p w:rsidR="00B95EB1" w:rsidRPr="00231455" w:rsidRDefault="00B95EB1" w:rsidP="00CB6262">
            <w:pPr>
              <w:spacing w:after="0" w:line="240" w:lineRule="auto"/>
              <w:jc w:val="center"/>
              <w:rPr>
                <w:rFonts w:ascii="Times New Roman" w:hAnsi="Times New Roman" w:cs="Times New Roman"/>
                <w:b/>
                <w:bCs/>
                <w:sz w:val="24"/>
                <w:szCs w:val="24"/>
                <w:lang w:eastAsia="ro-RO"/>
              </w:rPr>
            </w:pPr>
            <w:r w:rsidRPr="00231455">
              <w:rPr>
                <w:rFonts w:ascii="Times New Roman" w:hAnsi="Times New Roman" w:cs="Times New Roman"/>
                <w:b/>
                <w:bCs/>
                <w:sz w:val="24"/>
                <w:szCs w:val="24"/>
                <w:lang w:eastAsia="ro-RO"/>
              </w:rPr>
              <w:t>Ministrul Sănătăţii</w:t>
            </w:r>
          </w:p>
          <w:p w:rsidR="00B95EB1" w:rsidRPr="00231455" w:rsidRDefault="00B95EB1" w:rsidP="00CB6262">
            <w:pPr>
              <w:spacing w:after="0" w:line="240" w:lineRule="auto"/>
              <w:jc w:val="center"/>
              <w:rPr>
                <w:rFonts w:ascii="Times New Roman" w:hAnsi="Times New Roman" w:cs="Times New Roman"/>
                <w:b/>
                <w:bCs/>
                <w:sz w:val="24"/>
                <w:szCs w:val="24"/>
                <w:lang w:eastAsia="ro-RO"/>
              </w:rPr>
            </w:pPr>
          </w:p>
          <w:p w:rsidR="00B95EB1" w:rsidRPr="00231455" w:rsidRDefault="00B95EB1" w:rsidP="00CB6262">
            <w:pPr>
              <w:spacing w:after="0" w:line="240" w:lineRule="auto"/>
              <w:jc w:val="center"/>
              <w:rPr>
                <w:rFonts w:ascii="Times New Roman" w:hAnsi="Times New Roman" w:cs="Times New Roman"/>
                <w:b/>
                <w:bCs/>
                <w:sz w:val="24"/>
                <w:szCs w:val="24"/>
                <w:lang w:eastAsia="ro-RO"/>
              </w:rPr>
            </w:pPr>
          </w:p>
          <w:p w:rsidR="00B95EB1" w:rsidRPr="00231455" w:rsidRDefault="00B95EB1" w:rsidP="00B16A31">
            <w:pPr>
              <w:spacing w:after="0" w:line="240" w:lineRule="auto"/>
              <w:rPr>
                <w:rFonts w:ascii="Times New Roman" w:hAnsi="Times New Roman" w:cs="Times New Roman"/>
                <w:b/>
                <w:bCs/>
                <w:sz w:val="24"/>
                <w:szCs w:val="24"/>
                <w:lang w:eastAsia="ro-RO"/>
              </w:rPr>
            </w:pPr>
            <w:r w:rsidRPr="00231455">
              <w:rPr>
                <w:rFonts w:ascii="Times New Roman" w:hAnsi="Times New Roman" w:cs="Times New Roman"/>
                <w:b/>
                <w:bCs/>
                <w:sz w:val="24"/>
                <w:szCs w:val="24"/>
                <w:lang w:eastAsia="ro-RO"/>
              </w:rPr>
              <w:t>PATRICIU-ANDREI ACHIMAŞ-CADARIU</w:t>
            </w:r>
          </w:p>
          <w:p w:rsidR="00B95EB1" w:rsidRPr="00231455" w:rsidRDefault="00B95EB1" w:rsidP="00EE5D74">
            <w:pPr>
              <w:spacing w:after="0" w:line="240" w:lineRule="auto"/>
              <w:rPr>
                <w:rFonts w:ascii="Times New Roman" w:hAnsi="Times New Roman" w:cs="Times New Roman"/>
                <w:b/>
                <w:bCs/>
                <w:sz w:val="24"/>
                <w:szCs w:val="24"/>
                <w:lang w:eastAsia="ro-RO"/>
              </w:rPr>
            </w:pPr>
          </w:p>
        </w:tc>
        <w:tc>
          <w:tcPr>
            <w:tcW w:w="5008" w:type="dxa"/>
          </w:tcPr>
          <w:p w:rsidR="00B95EB1" w:rsidRPr="00231455" w:rsidRDefault="00B95EB1" w:rsidP="00B16A31">
            <w:pPr>
              <w:spacing w:after="0" w:line="240" w:lineRule="auto"/>
              <w:jc w:val="center"/>
              <w:rPr>
                <w:rFonts w:ascii="Times New Roman" w:hAnsi="Times New Roman" w:cs="Times New Roman"/>
                <w:b/>
                <w:noProof/>
                <w:sz w:val="24"/>
                <w:szCs w:val="24"/>
              </w:rPr>
            </w:pPr>
          </w:p>
          <w:p w:rsidR="00B95EB1" w:rsidRPr="00231455" w:rsidRDefault="00B95EB1" w:rsidP="00B16A31">
            <w:pPr>
              <w:spacing w:after="0" w:line="240" w:lineRule="auto"/>
              <w:jc w:val="center"/>
              <w:rPr>
                <w:rFonts w:ascii="Times New Roman" w:hAnsi="Times New Roman" w:cs="Times New Roman"/>
                <w:b/>
                <w:noProof/>
                <w:sz w:val="24"/>
                <w:szCs w:val="24"/>
              </w:rPr>
            </w:pPr>
            <w:r w:rsidRPr="00231455">
              <w:rPr>
                <w:rFonts w:ascii="Times New Roman" w:hAnsi="Times New Roman" w:cs="Times New Roman"/>
                <w:b/>
                <w:noProof/>
                <w:sz w:val="24"/>
                <w:szCs w:val="24"/>
              </w:rPr>
              <w:t>Preşedintele</w:t>
            </w:r>
          </w:p>
          <w:p w:rsidR="00B95EB1" w:rsidRPr="00231455" w:rsidRDefault="00B95EB1" w:rsidP="00B16A31">
            <w:pPr>
              <w:spacing w:after="0" w:line="240" w:lineRule="auto"/>
              <w:ind w:left="3600" w:hanging="3388"/>
              <w:jc w:val="both"/>
              <w:rPr>
                <w:rFonts w:ascii="Times New Roman" w:hAnsi="Times New Roman" w:cs="Times New Roman"/>
                <w:b/>
                <w:noProof/>
                <w:sz w:val="24"/>
                <w:szCs w:val="24"/>
              </w:rPr>
            </w:pPr>
            <w:r w:rsidRPr="00231455">
              <w:rPr>
                <w:rFonts w:ascii="Times New Roman" w:hAnsi="Times New Roman" w:cs="Times New Roman"/>
                <w:b/>
                <w:noProof/>
                <w:sz w:val="24"/>
                <w:szCs w:val="24"/>
              </w:rPr>
              <w:t>Casei Naţionale de Asigurări de Sănătate</w:t>
            </w:r>
          </w:p>
          <w:p w:rsidR="003422FD" w:rsidRDefault="003422FD" w:rsidP="00B16A31">
            <w:pPr>
              <w:spacing w:after="0" w:line="240" w:lineRule="auto"/>
              <w:jc w:val="both"/>
              <w:rPr>
                <w:rFonts w:ascii="Times New Roman" w:hAnsi="Times New Roman" w:cs="Times New Roman"/>
                <w:b/>
                <w:bCs/>
                <w:sz w:val="24"/>
                <w:szCs w:val="24"/>
                <w:lang w:eastAsia="ro-RO"/>
              </w:rPr>
            </w:pPr>
          </w:p>
          <w:p w:rsidR="00B95EB1" w:rsidRPr="00231455" w:rsidRDefault="00B95EB1" w:rsidP="00B16A31">
            <w:pPr>
              <w:spacing w:after="0" w:line="240" w:lineRule="auto"/>
              <w:jc w:val="both"/>
              <w:rPr>
                <w:rFonts w:ascii="Times New Roman" w:hAnsi="Times New Roman" w:cs="Times New Roman"/>
                <w:b/>
                <w:bCs/>
                <w:sz w:val="24"/>
                <w:szCs w:val="24"/>
                <w:lang w:eastAsia="ro-RO"/>
              </w:rPr>
            </w:pPr>
            <w:r w:rsidRPr="00231455">
              <w:rPr>
                <w:rFonts w:ascii="Times New Roman" w:hAnsi="Times New Roman" w:cs="Times New Roman"/>
                <w:b/>
                <w:bCs/>
                <w:sz w:val="24"/>
                <w:szCs w:val="24"/>
                <w:lang w:eastAsia="ro-RO"/>
              </w:rPr>
              <w:t xml:space="preserve">                     VASILE CIURCHEA</w:t>
            </w:r>
          </w:p>
        </w:tc>
      </w:tr>
      <w:tr w:rsidR="00B95EB1" w:rsidRPr="00231455" w:rsidTr="00653FD3">
        <w:tc>
          <w:tcPr>
            <w:tcW w:w="10016" w:type="dxa"/>
            <w:gridSpan w:val="3"/>
          </w:tcPr>
          <w:p w:rsidR="00B95EB1" w:rsidRDefault="00B95EB1" w:rsidP="00EF3C1D">
            <w:pPr>
              <w:spacing w:after="0" w:line="240" w:lineRule="auto"/>
              <w:jc w:val="center"/>
              <w:rPr>
                <w:rFonts w:ascii="Times New Roman" w:hAnsi="Times New Roman" w:cs="Times New Roman"/>
                <w:b/>
                <w:bCs/>
                <w:i/>
                <w:sz w:val="26"/>
                <w:szCs w:val="26"/>
                <w:u w:val="single"/>
                <w:lang w:eastAsia="ro-RO"/>
              </w:rPr>
            </w:pPr>
          </w:p>
          <w:p w:rsidR="001022E5" w:rsidRPr="00231455" w:rsidRDefault="001022E5" w:rsidP="00EF3C1D">
            <w:pPr>
              <w:spacing w:after="0" w:line="240" w:lineRule="auto"/>
              <w:jc w:val="center"/>
              <w:rPr>
                <w:rFonts w:ascii="Times New Roman" w:hAnsi="Times New Roman" w:cs="Times New Roman"/>
                <w:b/>
                <w:bCs/>
                <w:i/>
                <w:sz w:val="26"/>
                <w:szCs w:val="26"/>
                <w:u w:val="single"/>
                <w:lang w:eastAsia="ro-RO"/>
              </w:rPr>
            </w:pPr>
            <w:bookmarkStart w:id="0" w:name="_GoBack"/>
            <w:bookmarkEnd w:id="0"/>
          </w:p>
          <w:p w:rsidR="00B95EB1" w:rsidRPr="00231455" w:rsidRDefault="00B95EB1" w:rsidP="00EF3C1D">
            <w:pPr>
              <w:spacing w:after="0" w:line="240" w:lineRule="auto"/>
              <w:jc w:val="center"/>
              <w:rPr>
                <w:rFonts w:ascii="Times New Roman" w:hAnsi="Times New Roman" w:cs="Times New Roman"/>
                <w:b/>
                <w:bCs/>
                <w:i/>
                <w:sz w:val="26"/>
                <w:szCs w:val="26"/>
                <w:u w:val="single"/>
                <w:lang w:eastAsia="ro-RO"/>
              </w:rPr>
            </w:pPr>
            <w:r w:rsidRPr="00231455">
              <w:rPr>
                <w:rFonts w:ascii="Times New Roman" w:hAnsi="Times New Roman" w:cs="Times New Roman"/>
                <w:b/>
                <w:bCs/>
                <w:i/>
                <w:sz w:val="26"/>
                <w:szCs w:val="26"/>
                <w:u w:val="single"/>
                <w:lang w:eastAsia="ro-RO"/>
              </w:rPr>
              <w:t>Avizăm favorabil:</w:t>
            </w:r>
          </w:p>
          <w:p w:rsidR="00B95EB1" w:rsidRPr="00231455" w:rsidRDefault="00B95EB1" w:rsidP="00EE5D74">
            <w:pPr>
              <w:spacing w:after="0" w:line="240" w:lineRule="auto"/>
              <w:rPr>
                <w:rFonts w:ascii="Times New Roman" w:hAnsi="Times New Roman" w:cs="Times New Roman"/>
                <w:b/>
                <w:bCs/>
                <w:sz w:val="26"/>
                <w:szCs w:val="26"/>
                <w:lang w:eastAsia="ro-RO"/>
              </w:rPr>
            </w:pPr>
          </w:p>
        </w:tc>
      </w:tr>
      <w:tr w:rsidR="00B95EB1" w:rsidRPr="00231455" w:rsidTr="00653FD3">
        <w:tc>
          <w:tcPr>
            <w:tcW w:w="10016" w:type="dxa"/>
            <w:gridSpan w:val="3"/>
          </w:tcPr>
          <w:p w:rsidR="00B95EB1" w:rsidRPr="00231455" w:rsidRDefault="00B95EB1" w:rsidP="00EF3C1D">
            <w:pPr>
              <w:spacing w:after="0" w:line="240" w:lineRule="auto"/>
              <w:jc w:val="center"/>
              <w:rPr>
                <w:rFonts w:ascii="Times New Roman" w:hAnsi="Times New Roman" w:cs="Times New Roman"/>
                <w:b/>
                <w:bCs/>
                <w:i/>
                <w:sz w:val="26"/>
                <w:szCs w:val="26"/>
                <w:u w:val="single"/>
                <w:lang w:eastAsia="ro-RO"/>
              </w:rPr>
            </w:pPr>
          </w:p>
        </w:tc>
      </w:tr>
      <w:tr w:rsidR="00B95EB1" w:rsidRPr="00231455" w:rsidTr="00653FD3">
        <w:trPr>
          <w:trHeight w:val="1837"/>
        </w:trPr>
        <w:tc>
          <w:tcPr>
            <w:tcW w:w="4788" w:type="dxa"/>
          </w:tcPr>
          <w:p w:rsidR="00B95EB1" w:rsidRPr="00231455" w:rsidRDefault="00B95EB1" w:rsidP="00EF3C1D">
            <w:pPr>
              <w:spacing w:after="0" w:line="240" w:lineRule="auto"/>
              <w:jc w:val="center"/>
              <w:rPr>
                <w:rFonts w:ascii="Times New Roman" w:hAnsi="Times New Roman" w:cs="Times New Roman"/>
                <w:b/>
                <w:bCs/>
                <w:sz w:val="24"/>
                <w:szCs w:val="24"/>
                <w:lang w:eastAsia="ro-RO"/>
              </w:rPr>
            </w:pPr>
          </w:p>
          <w:p w:rsidR="00B95EB1" w:rsidRPr="00231455" w:rsidRDefault="00B95EB1" w:rsidP="00EF3C1D">
            <w:pPr>
              <w:spacing w:after="0" w:line="240" w:lineRule="auto"/>
              <w:jc w:val="center"/>
              <w:rPr>
                <w:rFonts w:ascii="Times New Roman" w:hAnsi="Times New Roman" w:cs="Times New Roman"/>
                <w:b/>
                <w:bCs/>
                <w:sz w:val="24"/>
                <w:szCs w:val="24"/>
                <w:lang w:eastAsia="ro-RO"/>
              </w:rPr>
            </w:pPr>
            <w:r w:rsidRPr="00231455">
              <w:rPr>
                <w:rFonts w:ascii="Times New Roman" w:hAnsi="Times New Roman" w:cs="Times New Roman"/>
                <w:b/>
                <w:bCs/>
                <w:sz w:val="24"/>
                <w:szCs w:val="24"/>
                <w:lang w:eastAsia="ro-RO"/>
              </w:rPr>
              <w:t>Ministrul Finan</w:t>
            </w:r>
            <w:r w:rsidRPr="00231455">
              <w:rPr>
                <w:rFonts w:ascii="Tahoma" w:hAnsi="Tahoma" w:cs="Times New Roman"/>
                <w:b/>
                <w:bCs/>
                <w:sz w:val="24"/>
                <w:szCs w:val="24"/>
                <w:lang w:eastAsia="ro-RO"/>
              </w:rPr>
              <w:t>ț</w:t>
            </w:r>
            <w:r w:rsidRPr="00231455">
              <w:rPr>
                <w:rFonts w:ascii="Times New Roman" w:hAnsi="Times New Roman" w:cs="Times New Roman"/>
                <w:b/>
                <w:bCs/>
                <w:sz w:val="24"/>
                <w:szCs w:val="24"/>
                <w:lang w:eastAsia="ro-RO"/>
              </w:rPr>
              <w:t>elor Publice</w:t>
            </w:r>
          </w:p>
          <w:p w:rsidR="00B95EB1" w:rsidRPr="00231455" w:rsidRDefault="00B95EB1" w:rsidP="00EE5D74">
            <w:pPr>
              <w:spacing w:after="0" w:line="240" w:lineRule="auto"/>
              <w:rPr>
                <w:rFonts w:ascii="Times New Roman" w:hAnsi="Times New Roman" w:cs="Times New Roman"/>
                <w:b/>
                <w:bCs/>
                <w:sz w:val="24"/>
                <w:szCs w:val="24"/>
                <w:lang w:eastAsia="ro-RO"/>
              </w:rPr>
            </w:pPr>
          </w:p>
          <w:p w:rsidR="00B95EB1" w:rsidRPr="00231455" w:rsidRDefault="00B95EB1" w:rsidP="00EF3C1D">
            <w:pPr>
              <w:spacing w:after="0" w:line="240" w:lineRule="auto"/>
              <w:jc w:val="center"/>
              <w:rPr>
                <w:rFonts w:ascii="Times New Roman" w:hAnsi="Times New Roman" w:cs="Times New Roman"/>
                <w:b/>
                <w:bCs/>
                <w:sz w:val="24"/>
                <w:szCs w:val="24"/>
                <w:lang w:eastAsia="ro-RO"/>
              </w:rPr>
            </w:pPr>
            <w:r w:rsidRPr="00231455">
              <w:rPr>
                <w:rFonts w:ascii="Times New Roman" w:hAnsi="Times New Roman" w:cs="Times New Roman"/>
                <w:b/>
                <w:bCs/>
                <w:sz w:val="24"/>
                <w:szCs w:val="24"/>
                <w:lang w:eastAsia="ro-RO"/>
              </w:rPr>
              <w:t>ANCA DANA DRAGU</w:t>
            </w:r>
          </w:p>
          <w:p w:rsidR="00B95EB1" w:rsidRPr="00231455" w:rsidRDefault="00B95EB1" w:rsidP="00EE5D74">
            <w:pPr>
              <w:spacing w:after="0" w:line="240" w:lineRule="auto"/>
              <w:rPr>
                <w:rFonts w:ascii="Times New Roman" w:hAnsi="Times New Roman" w:cs="Times New Roman"/>
                <w:b/>
                <w:bCs/>
                <w:sz w:val="24"/>
                <w:szCs w:val="24"/>
                <w:lang w:eastAsia="ro-RO"/>
              </w:rPr>
            </w:pPr>
          </w:p>
        </w:tc>
        <w:tc>
          <w:tcPr>
            <w:tcW w:w="5228" w:type="dxa"/>
            <w:gridSpan w:val="2"/>
          </w:tcPr>
          <w:p w:rsidR="00B95EB1" w:rsidRPr="00231455" w:rsidRDefault="00B95EB1" w:rsidP="00F83FFA">
            <w:pPr>
              <w:spacing w:after="0" w:line="240" w:lineRule="auto"/>
              <w:jc w:val="center"/>
              <w:rPr>
                <w:rFonts w:ascii="Times New Roman" w:hAnsi="Times New Roman" w:cs="Times New Roman"/>
                <w:b/>
                <w:bCs/>
                <w:sz w:val="24"/>
                <w:szCs w:val="24"/>
                <w:lang w:eastAsia="ro-RO"/>
              </w:rPr>
            </w:pPr>
          </w:p>
          <w:p w:rsidR="00B95EB1" w:rsidRPr="00231455" w:rsidRDefault="00B95EB1" w:rsidP="00F83FFA">
            <w:pPr>
              <w:spacing w:after="0" w:line="240" w:lineRule="auto"/>
              <w:jc w:val="center"/>
              <w:rPr>
                <w:rFonts w:ascii="Times New Roman" w:hAnsi="Times New Roman" w:cs="Times New Roman"/>
                <w:b/>
                <w:bCs/>
                <w:sz w:val="24"/>
                <w:szCs w:val="24"/>
                <w:lang w:eastAsia="ro-RO"/>
              </w:rPr>
            </w:pPr>
            <w:r w:rsidRPr="00231455">
              <w:rPr>
                <w:rFonts w:ascii="Times New Roman" w:hAnsi="Times New Roman" w:cs="Times New Roman"/>
                <w:b/>
                <w:bCs/>
                <w:sz w:val="24"/>
                <w:szCs w:val="24"/>
                <w:lang w:eastAsia="ro-RO"/>
              </w:rPr>
              <w:t>Ministrul Justi</w:t>
            </w:r>
            <w:r w:rsidRPr="00231455">
              <w:rPr>
                <w:rFonts w:ascii="Tahoma" w:hAnsi="Tahoma" w:cs="Times New Roman"/>
                <w:b/>
                <w:bCs/>
                <w:sz w:val="24"/>
                <w:szCs w:val="24"/>
                <w:lang w:eastAsia="ro-RO"/>
              </w:rPr>
              <w:t>ț</w:t>
            </w:r>
            <w:r w:rsidRPr="00231455">
              <w:rPr>
                <w:rFonts w:ascii="Times New Roman" w:hAnsi="Times New Roman" w:cs="Times New Roman"/>
                <w:b/>
                <w:bCs/>
                <w:sz w:val="24"/>
                <w:szCs w:val="24"/>
                <w:lang w:eastAsia="ro-RO"/>
              </w:rPr>
              <w:t>iei</w:t>
            </w:r>
          </w:p>
          <w:p w:rsidR="00B95EB1" w:rsidRPr="00231455" w:rsidRDefault="00B95EB1" w:rsidP="00EE5D74">
            <w:pPr>
              <w:spacing w:after="0" w:line="240" w:lineRule="auto"/>
              <w:rPr>
                <w:rFonts w:ascii="Times New Roman" w:hAnsi="Times New Roman" w:cs="Times New Roman"/>
                <w:b/>
                <w:bCs/>
                <w:sz w:val="24"/>
                <w:szCs w:val="24"/>
                <w:lang w:eastAsia="ro-RO"/>
              </w:rPr>
            </w:pPr>
          </w:p>
          <w:p w:rsidR="00B95EB1" w:rsidRPr="00231455" w:rsidRDefault="00B95EB1" w:rsidP="00F83FFA">
            <w:pPr>
              <w:spacing w:after="0" w:line="240" w:lineRule="auto"/>
              <w:jc w:val="center"/>
              <w:rPr>
                <w:rFonts w:ascii="Times New Roman" w:hAnsi="Times New Roman" w:cs="Times New Roman"/>
                <w:b/>
                <w:bCs/>
                <w:sz w:val="24"/>
                <w:szCs w:val="24"/>
                <w:lang w:eastAsia="ro-RO"/>
              </w:rPr>
            </w:pPr>
            <w:r w:rsidRPr="00231455">
              <w:rPr>
                <w:rFonts w:ascii="Times New Roman" w:hAnsi="Times New Roman" w:cs="Times New Roman"/>
                <w:b/>
                <w:bCs/>
                <w:sz w:val="24"/>
                <w:szCs w:val="24"/>
                <w:lang w:eastAsia="ro-RO"/>
              </w:rPr>
              <w:t>RALUCA ALEXANDRA PRUNĂ</w:t>
            </w:r>
          </w:p>
          <w:p w:rsidR="00B95EB1" w:rsidRPr="00231455" w:rsidRDefault="00B95EB1" w:rsidP="00EE5D74">
            <w:pPr>
              <w:spacing w:after="0" w:line="240" w:lineRule="auto"/>
              <w:rPr>
                <w:rFonts w:ascii="Times New Roman" w:hAnsi="Times New Roman" w:cs="Times New Roman"/>
                <w:b/>
                <w:bCs/>
                <w:sz w:val="24"/>
                <w:szCs w:val="24"/>
                <w:lang w:eastAsia="ro-RO"/>
              </w:rPr>
            </w:pPr>
          </w:p>
        </w:tc>
      </w:tr>
    </w:tbl>
    <w:p w:rsidR="00B95EB1" w:rsidRPr="00231455" w:rsidRDefault="00B95EB1" w:rsidP="00A47B08">
      <w:pPr>
        <w:spacing w:after="0" w:line="240" w:lineRule="auto"/>
        <w:jc w:val="center"/>
        <w:rPr>
          <w:rFonts w:ascii="Times New Roman" w:hAnsi="Times New Roman" w:cs="Times New Roman"/>
          <w:b/>
          <w:bCs/>
          <w:sz w:val="26"/>
          <w:szCs w:val="26"/>
          <w:lang w:eastAsia="ro-RO"/>
        </w:rPr>
      </w:pPr>
    </w:p>
    <w:p w:rsidR="00B95EB1" w:rsidRPr="00231455" w:rsidRDefault="00B95EB1" w:rsidP="00A47B08">
      <w:pPr>
        <w:spacing w:after="0" w:line="240" w:lineRule="auto"/>
        <w:jc w:val="center"/>
        <w:rPr>
          <w:rFonts w:ascii="Times New Roman" w:hAnsi="Times New Roman" w:cs="Times New Roman"/>
          <w:b/>
          <w:bCs/>
          <w:sz w:val="26"/>
          <w:szCs w:val="26"/>
          <w:lang w:eastAsia="ro-RO"/>
        </w:rPr>
      </w:pPr>
    </w:p>
    <w:sectPr w:rsidR="00B95EB1" w:rsidRPr="00231455" w:rsidSect="00C11A4B">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9F" w:rsidRDefault="00BF669F">
      <w:pPr>
        <w:spacing w:after="0" w:line="240" w:lineRule="auto"/>
      </w:pPr>
      <w:r>
        <w:separator/>
      </w:r>
    </w:p>
  </w:endnote>
  <w:endnote w:type="continuationSeparator" w:id="0">
    <w:p w:rsidR="00BF669F" w:rsidRDefault="00BF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B1" w:rsidRDefault="00E30844">
    <w:pPr>
      <w:pStyle w:val="Footer"/>
      <w:jc w:val="center"/>
    </w:pPr>
    <w:r>
      <w:fldChar w:fldCharType="begin"/>
    </w:r>
    <w:r>
      <w:instrText xml:space="preserve"> PAGE   \* MERGEFORMAT </w:instrText>
    </w:r>
    <w:r>
      <w:fldChar w:fldCharType="separate"/>
    </w:r>
    <w:r w:rsidR="00BF669F">
      <w:rPr>
        <w:noProof/>
      </w:rPr>
      <w:t>1</w:t>
    </w:r>
    <w:r>
      <w:rPr>
        <w:noProof/>
      </w:rPr>
      <w:fldChar w:fldCharType="end"/>
    </w:r>
  </w:p>
  <w:p w:rsidR="00B95EB1" w:rsidRDefault="00B9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9F" w:rsidRDefault="00BF669F">
      <w:pPr>
        <w:spacing w:after="0" w:line="240" w:lineRule="auto"/>
      </w:pPr>
      <w:r>
        <w:separator/>
      </w:r>
    </w:p>
  </w:footnote>
  <w:footnote w:type="continuationSeparator" w:id="0">
    <w:p w:rsidR="00BF669F" w:rsidRDefault="00BF6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F66"/>
    <w:multiLevelType w:val="hybridMultilevel"/>
    <w:tmpl w:val="132CEEB2"/>
    <w:lvl w:ilvl="0" w:tplc="04090005">
      <w:start w:val="1"/>
      <w:numFmt w:val="bullet"/>
      <w:lvlText w:val=""/>
      <w:lvlJc w:val="left"/>
      <w:pPr>
        <w:ind w:left="809" w:hanging="360"/>
      </w:pPr>
      <w:rPr>
        <w:rFonts w:ascii="Wingdings" w:hAnsi="Wingdings" w:hint="default"/>
      </w:rPr>
    </w:lvl>
    <w:lvl w:ilvl="1" w:tplc="0409000D">
      <w:start w:val="1"/>
      <w:numFmt w:val="bullet"/>
      <w:lvlText w:val=""/>
      <w:lvlJc w:val="left"/>
      <w:pPr>
        <w:tabs>
          <w:tab w:val="num" w:pos="1529"/>
        </w:tabs>
        <w:ind w:left="1529" w:hanging="360"/>
      </w:pPr>
      <w:rPr>
        <w:rFonts w:ascii="Wingdings" w:hAnsi="Wingdings"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
    <w:nsid w:val="0BA56806"/>
    <w:multiLevelType w:val="hybridMultilevel"/>
    <w:tmpl w:val="E3D4CEA4"/>
    <w:lvl w:ilvl="0" w:tplc="D58C0520">
      <w:numFmt w:val="bullet"/>
      <w:lvlText w:val="-"/>
      <w:lvlJc w:val="left"/>
      <w:pPr>
        <w:ind w:left="1320" w:hanging="360"/>
      </w:pPr>
      <w:rPr>
        <w:rFonts w:ascii="Times New Roman" w:eastAsia="Calibr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71628FC"/>
    <w:multiLevelType w:val="hybridMultilevel"/>
    <w:tmpl w:val="83548C12"/>
    <w:lvl w:ilvl="0" w:tplc="FBA6C5A4">
      <w:start w:val="1"/>
      <w:numFmt w:val="bullet"/>
      <w:lvlText w:val=""/>
      <w:lvlJc w:val="left"/>
      <w:pPr>
        <w:ind w:left="1046" w:hanging="360"/>
      </w:pPr>
      <w:rPr>
        <w:rFonts w:ascii="Wingdings" w:hAnsi="Wingdings" w:hint="default"/>
        <w:color w:val="auto"/>
      </w:rPr>
    </w:lvl>
    <w:lvl w:ilvl="1" w:tplc="04090003" w:tentative="1">
      <w:start w:val="1"/>
      <w:numFmt w:val="bullet"/>
      <w:lvlText w:val="o"/>
      <w:lvlJc w:val="left"/>
      <w:pPr>
        <w:ind w:left="1766" w:hanging="360"/>
      </w:pPr>
      <w:rPr>
        <w:rFonts w:ascii="Courier New" w:hAnsi="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4">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6">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F0A0959"/>
    <w:multiLevelType w:val="hybridMultilevel"/>
    <w:tmpl w:val="3622227A"/>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9">
    <w:nsid w:val="53F52879"/>
    <w:multiLevelType w:val="hybridMultilevel"/>
    <w:tmpl w:val="D10AFB90"/>
    <w:lvl w:ilvl="0" w:tplc="0409001B">
      <w:start w:val="1"/>
      <w:numFmt w:val="lowerRoman"/>
      <w:lvlText w:val="%1."/>
      <w:lvlJc w:val="righ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4"/>
  </w:num>
  <w:num w:numId="4">
    <w:abstractNumId w:val="2"/>
  </w:num>
  <w:num w:numId="5">
    <w:abstractNumId w:val="10"/>
  </w:num>
  <w:num w:numId="6">
    <w:abstractNumId w:val="9"/>
  </w:num>
  <w:num w:numId="7">
    <w:abstractNumId w:val="5"/>
  </w:num>
  <w:num w:numId="8">
    <w:abstractNumId w:val="8"/>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ACD"/>
    <w:rsid w:val="00000D47"/>
    <w:rsid w:val="00011A4F"/>
    <w:rsid w:val="00012931"/>
    <w:rsid w:val="00015FD1"/>
    <w:rsid w:val="00024ABC"/>
    <w:rsid w:val="00033ADA"/>
    <w:rsid w:val="0005407E"/>
    <w:rsid w:val="000548A2"/>
    <w:rsid w:val="00055832"/>
    <w:rsid w:val="0006455B"/>
    <w:rsid w:val="00075C79"/>
    <w:rsid w:val="00080602"/>
    <w:rsid w:val="0008310A"/>
    <w:rsid w:val="00085318"/>
    <w:rsid w:val="00090B77"/>
    <w:rsid w:val="00097A25"/>
    <w:rsid w:val="000D54A5"/>
    <w:rsid w:val="000D7478"/>
    <w:rsid w:val="000E3E62"/>
    <w:rsid w:val="000F638E"/>
    <w:rsid w:val="001022E5"/>
    <w:rsid w:val="001024E8"/>
    <w:rsid w:val="00122E26"/>
    <w:rsid w:val="00132EB8"/>
    <w:rsid w:val="001664A6"/>
    <w:rsid w:val="00170166"/>
    <w:rsid w:val="00174C22"/>
    <w:rsid w:val="00177FA1"/>
    <w:rsid w:val="001A1E8C"/>
    <w:rsid w:val="001A1EB9"/>
    <w:rsid w:val="001A61D2"/>
    <w:rsid w:val="001B1CAE"/>
    <w:rsid w:val="001C1EC3"/>
    <w:rsid w:val="001C67F9"/>
    <w:rsid w:val="001C6F04"/>
    <w:rsid w:val="001D0194"/>
    <w:rsid w:val="001E11AA"/>
    <w:rsid w:val="001E2329"/>
    <w:rsid w:val="001F384D"/>
    <w:rsid w:val="0021256A"/>
    <w:rsid w:val="0022235F"/>
    <w:rsid w:val="00227B68"/>
    <w:rsid w:val="00231455"/>
    <w:rsid w:val="00233E0E"/>
    <w:rsid w:val="00237969"/>
    <w:rsid w:val="00237BC8"/>
    <w:rsid w:val="00246A4C"/>
    <w:rsid w:val="00250043"/>
    <w:rsid w:val="002705BC"/>
    <w:rsid w:val="00274AA5"/>
    <w:rsid w:val="00274DEE"/>
    <w:rsid w:val="00276C1F"/>
    <w:rsid w:val="00277DB2"/>
    <w:rsid w:val="002825F5"/>
    <w:rsid w:val="002912B2"/>
    <w:rsid w:val="00292EC3"/>
    <w:rsid w:val="002A653B"/>
    <w:rsid w:val="002F2D66"/>
    <w:rsid w:val="002F2ED7"/>
    <w:rsid w:val="002F79B5"/>
    <w:rsid w:val="002F7EED"/>
    <w:rsid w:val="00326F2A"/>
    <w:rsid w:val="003271EE"/>
    <w:rsid w:val="00327347"/>
    <w:rsid w:val="003379E3"/>
    <w:rsid w:val="00341EF1"/>
    <w:rsid w:val="003422FD"/>
    <w:rsid w:val="0035650F"/>
    <w:rsid w:val="00364C4D"/>
    <w:rsid w:val="0037262E"/>
    <w:rsid w:val="003778CC"/>
    <w:rsid w:val="00382CF8"/>
    <w:rsid w:val="003B1555"/>
    <w:rsid w:val="003B5162"/>
    <w:rsid w:val="003B7ECE"/>
    <w:rsid w:val="003C2F89"/>
    <w:rsid w:val="003D40B0"/>
    <w:rsid w:val="003E648D"/>
    <w:rsid w:val="004002C0"/>
    <w:rsid w:val="00403A14"/>
    <w:rsid w:val="00406152"/>
    <w:rsid w:val="00413B68"/>
    <w:rsid w:val="004206F8"/>
    <w:rsid w:val="0042485E"/>
    <w:rsid w:val="00440E17"/>
    <w:rsid w:val="00470A0A"/>
    <w:rsid w:val="004745A3"/>
    <w:rsid w:val="00474AA2"/>
    <w:rsid w:val="00482E6B"/>
    <w:rsid w:val="00497023"/>
    <w:rsid w:val="004A055F"/>
    <w:rsid w:val="004B2C8C"/>
    <w:rsid w:val="004B6537"/>
    <w:rsid w:val="004C5047"/>
    <w:rsid w:val="004C69A9"/>
    <w:rsid w:val="004D378E"/>
    <w:rsid w:val="004F3EA3"/>
    <w:rsid w:val="00505790"/>
    <w:rsid w:val="0052757A"/>
    <w:rsid w:val="00535D68"/>
    <w:rsid w:val="00582A93"/>
    <w:rsid w:val="005872B5"/>
    <w:rsid w:val="0059500F"/>
    <w:rsid w:val="005A563F"/>
    <w:rsid w:val="005B1A9E"/>
    <w:rsid w:val="005B1D8D"/>
    <w:rsid w:val="005C0025"/>
    <w:rsid w:val="005D4369"/>
    <w:rsid w:val="005D4ED4"/>
    <w:rsid w:val="005F0570"/>
    <w:rsid w:val="0060485D"/>
    <w:rsid w:val="00611359"/>
    <w:rsid w:val="00612132"/>
    <w:rsid w:val="00613121"/>
    <w:rsid w:val="00622A26"/>
    <w:rsid w:val="00635E75"/>
    <w:rsid w:val="00644359"/>
    <w:rsid w:val="00644F60"/>
    <w:rsid w:val="00653FD3"/>
    <w:rsid w:val="006577A5"/>
    <w:rsid w:val="00665BBE"/>
    <w:rsid w:val="006702B7"/>
    <w:rsid w:val="0067669A"/>
    <w:rsid w:val="006775E8"/>
    <w:rsid w:val="00682D44"/>
    <w:rsid w:val="006A111D"/>
    <w:rsid w:val="006B43F1"/>
    <w:rsid w:val="006B7A4C"/>
    <w:rsid w:val="006C25EC"/>
    <w:rsid w:val="006C3A54"/>
    <w:rsid w:val="006C6EAF"/>
    <w:rsid w:val="006D0B8C"/>
    <w:rsid w:val="006D2B48"/>
    <w:rsid w:val="006D35A6"/>
    <w:rsid w:val="006D7A09"/>
    <w:rsid w:val="007074D9"/>
    <w:rsid w:val="00710D41"/>
    <w:rsid w:val="007133EC"/>
    <w:rsid w:val="00723CFF"/>
    <w:rsid w:val="00726B66"/>
    <w:rsid w:val="0073063B"/>
    <w:rsid w:val="00731DC3"/>
    <w:rsid w:val="00732D32"/>
    <w:rsid w:val="007377AC"/>
    <w:rsid w:val="0074749D"/>
    <w:rsid w:val="00747CD9"/>
    <w:rsid w:val="00751055"/>
    <w:rsid w:val="00752E0C"/>
    <w:rsid w:val="007530E9"/>
    <w:rsid w:val="00777902"/>
    <w:rsid w:val="007807AD"/>
    <w:rsid w:val="00795732"/>
    <w:rsid w:val="007B09FA"/>
    <w:rsid w:val="007B3EEB"/>
    <w:rsid w:val="007C61CF"/>
    <w:rsid w:val="007C64A5"/>
    <w:rsid w:val="007C7138"/>
    <w:rsid w:val="007D2CE4"/>
    <w:rsid w:val="007E1CC6"/>
    <w:rsid w:val="007E7664"/>
    <w:rsid w:val="00802C0D"/>
    <w:rsid w:val="0080594B"/>
    <w:rsid w:val="00805CE8"/>
    <w:rsid w:val="00831C96"/>
    <w:rsid w:val="00833673"/>
    <w:rsid w:val="00840095"/>
    <w:rsid w:val="008456E6"/>
    <w:rsid w:val="00845714"/>
    <w:rsid w:val="00852E8F"/>
    <w:rsid w:val="00856E57"/>
    <w:rsid w:val="0086217F"/>
    <w:rsid w:val="00881D94"/>
    <w:rsid w:val="00882E3B"/>
    <w:rsid w:val="00886D70"/>
    <w:rsid w:val="008B287F"/>
    <w:rsid w:val="008B5DFE"/>
    <w:rsid w:val="008E1ACD"/>
    <w:rsid w:val="008E44A6"/>
    <w:rsid w:val="008E7F35"/>
    <w:rsid w:val="008F0F45"/>
    <w:rsid w:val="008F191D"/>
    <w:rsid w:val="009067D7"/>
    <w:rsid w:val="0091268B"/>
    <w:rsid w:val="00913BF5"/>
    <w:rsid w:val="009204FF"/>
    <w:rsid w:val="00924FE4"/>
    <w:rsid w:val="00926050"/>
    <w:rsid w:val="009371F9"/>
    <w:rsid w:val="00937337"/>
    <w:rsid w:val="00942B4A"/>
    <w:rsid w:val="009526BA"/>
    <w:rsid w:val="00961BDF"/>
    <w:rsid w:val="00964B7E"/>
    <w:rsid w:val="009711B5"/>
    <w:rsid w:val="00972D09"/>
    <w:rsid w:val="0097719D"/>
    <w:rsid w:val="00977A3D"/>
    <w:rsid w:val="00991157"/>
    <w:rsid w:val="00993CB1"/>
    <w:rsid w:val="009A556E"/>
    <w:rsid w:val="009A5AB3"/>
    <w:rsid w:val="009B08B6"/>
    <w:rsid w:val="009C0BB2"/>
    <w:rsid w:val="009D4C6D"/>
    <w:rsid w:val="009E46D7"/>
    <w:rsid w:val="009F711D"/>
    <w:rsid w:val="00A03155"/>
    <w:rsid w:val="00A11F8B"/>
    <w:rsid w:val="00A35A7B"/>
    <w:rsid w:val="00A35A9B"/>
    <w:rsid w:val="00A35C1E"/>
    <w:rsid w:val="00A35EB1"/>
    <w:rsid w:val="00A47B08"/>
    <w:rsid w:val="00A5604D"/>
    <w:rsid w:val="00A715A1"/>
    <w:rsid w:val="00A87583"/>
    <w:rsid w:val="00A90AF9"/>
    <w:rsid w:val="00A92A29"/>
    <w:rsid w:val="00AA35A4"/>
    <w:rsid w:val="00AA4E93"/>
    <w:rsid w:val="00AA5FD8"/>
    <w:rsid w:val="00AA6E22"/>
    <w:rsid w:val="00AE42B1"/>
    <w:rsid w:val="00B074E9"/>
    <w:rsid w:val="00B16A31"/>
    <w:rsid w:val="00B20384"/>
    <w:rsid w:val="00B21E3A"/>
    <w:rsid w:val="00B23316"/>
    <w:rsid w:val="00B24074"/>
    <w:rsid w:val="00B4626A"/>
    <w:rsid w:val="00B4654F"/>
    <w:rsid w:val="00B46667"/>
    <w:rsid w:val="00B531D8"/>
    <w:rsid w:val="00B55F5C"/>
    <w:rsid w:val="00B561D0"/>
    <w:rsid w:val="00B64499"/>
    <w:rsid w:val="00B77699"/>
    <w:rsid w:val="00B95565"/>
    <w:rsid w:val="00B95EB1"/>
    <w:rsid w:val="00BA595E"/>
    <w:rsid w:val="00BA5F0F"/>
    <w:rsid w:val="00BB286A"/>
    <w:rsid w:val="00BE0E0C"/>
    <w:rsid w:val="00BF2600"/>
    <w:rsid w:val="00BF5F0F"/>
    <w:rsid w:val="00BF669F"/>
    <w:rsid w:val="00C04106"/>
    <w:rsid w:val="00C11A4B"/>
    <w:rsid w:val="00C12A02"/>
    <w:rsid w:val="00C26EE4"/>
    <w:rsid w:val="00C33351"/>
    <w:rsid w:val="00C36F38"/>
    <w:rsid w:val="00C4791A"/>
    <w:rsid w:val="00C56AA1"/>
    <w:rsid w:val="00C747C0"/>
    <w:rsid w:val="00C76AD7"/>
    <w:rsid w:val="00C778A8"/>
    <w:rsid w:val="00C87495"/>
    <w:rsid w:val="00CB15F6"/>
    <w:rsid w:val="00CB6262"/>
    <w:rsid w:val="00CB77F0"/>
    <w:rsid w:val="00CD76AF"/>
    <w:rsid w:val="00CF0CFE"/>
    <w:rsid w:val="00D01B49"/>
    <w:rsid w:val="00D06B86"/>
    <w:rsid w:val="00D16A54"/>
    <w:rsid w:val="00D177DA"/>
    <w:rsid w:val="00D4429C"/>
    <w:rsid w:val="00D45E0C"/>
    <w:rsid w:val="00D57CB1"/>
    <w:rsid w:val="00D636C7"/>
    <w:rsid w:val="00D83A52"/>
    <w:rsid w:val="00D843E6"/>
    <w:rsid w:val="00D95F14"/>
    <w:rsid w:val="00DA1DBB"/>
    <w:rsid w:val="00DC3082"/>
    <w:rsid w:val="00DD4F9B"/>
    <w:rsid w:val="00DE369F"/>
    <w:rsid w:val="00DE3CC1"/>
    <w:rsid w:val="00DF2D5E"/>
    <w:rsid w:val="00DF5B09"/>
    <w:rsid w:val="00DF6EF6"/>
    <w:rsid w:val="00E06B09"/>
    <w:rsid w:val="00E1250C"/>
    <w:rsid w:val="00E30844"/>
    <w:rsid w:val="00E30DDE"/>
    <w:rsid w:val="00E349C4"/>
    <w:rsid w:val="00E83171"/>
    <w:rsid w:val="00EA480D"/>
    <w:rsid w:val="00EB348E"/>
    <w:rsid w:val="00EB5AC6"/>
    <w:rsid w:val="00EB6F14"/>
    <w:rsid w:val="00EC06C9"/>
    <w:rsid w:val="00ED08ED"/>
    <w:rsid w:val="00ED4CB6"/>
    <w:rsid w:val="00ED59F4"/>
    <w:rsid w:val="00EE5D74"/>
    <w:rsid w:val="00EE7B6F"/>
    <w:rsid w:val="00EF2074"/>
    <w:rsid w:val="00EF3C1D"/>
    <w:rsid w:val="00F12C6A"/>
    <w:rsid w:val="00F170B4"/>
    <w:rsid w:val="00F30CB8"/>
    <w:rsid w:val="00F425C1"/>
    <w:rsid w:val="00F45307"/>
    <w:rsid w:val="00F454C5"/>
    <w:rsid w:val="00F634AC"/>
    <w:rsid w:val="00F703FC"/>
    <w:rsid w:val="00F7217E"/>
    <w:rsid w:val="00F83FFA"/>
    <w:rsid w:val="00FB183D"/>
    <w:rsid w:val="00FB7C55"/>
    <w:rsid w:val="00FC2EFE"/>
    <w:rsid w:val="00FC40E3"/>
    <w:rsid w:val="00FD08D4"/>
    <w:rsid w:val="00FE5AAF"/>
    <w:rsid w:val="00FE6A19"/>
    <w:rsid w:val="00FF2604"/>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val="en-US" w:eastAsia="ro-RO"/>
    </w:rPr>
  </w:style>
  <w:style w:type="character" w:customStyle="1" w:styleId="BalloonTextChar">
    <w:name w:val="Balloon Text Char"/>
    <w:link w:val="BalloonText"/>
    <w:uiPriority w:val="99"/>
    <w:semiHidden/>
    <w:locked/>
    <w:rsid w:val="00227B68"/>
    <w:rPr>
      <w:rFonts w:ascii="Tahoma" w:hAnsi="Tahoma"/>
      <w:sz w:val="16"/>
    </w:rPr>
  </w:style>
  <w:style w:type="paragraph" w:styleId="ListParagraph">
    <w:name w:val="List Paragraph"/>
    <w:basedOn w:val="Normal"/>
    <w:uiPriority w:val="99"/>
    <w:qFormat/>
    <w:rsid w:val="00B95565"/>
    <w:pPr>
      <w:spacing w:after="0" w:line="240" w:lineRule="auto"/>
      <w:ind w:left="720"/>
      <w:contextualSpacing/>
    </w:pPr>
    <w:rPr>
      <w:rFonts w:ascii="Times New Roman" w:eastAsia="Times New Roman" w:hAnsi="Times New Roman" w:cs="Times New Roman"/>
      <w:sz w:val="20"/>
      <w:szCs w:val="20"/>
      <w:lang w:val="en-US"/>
    </w:rPr>
  </w:style>
  <w:style w:type="character" w:styleId="Emphasis">
    <w:name w:val="Emphasis"/>
    <w:uiPriority w:val="99"/>
    <w:qFormat/>
    <w:locked/>
    <w:rsid w:val="00582A93"/>
    <w:rPr>
      <w:b/>
      <w:i/>
      <w:spacing w:val="1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5915">
      <w:marLeft w:val="0"/>
      <w:marRight w:val="0"/>
      <w:marTop w:val="0"/>
      <w:marBottom w:val="0"/>
      <w:divBdr>
        <w:top w:val="none" w:sz="0" w:space="0" w:color="auto"/>
        <w:left w:val="none" w:sz="0" w:space="0" w:color="auto"/>
        <w:bottom w:val="none" w:sz="0" w:space="0" w:color="auto"/>
        <w:right w:val="none" w:sz="0" w:space="0" w:color="auto"/>
      </w:divBdr>
    </w:div>
    <w:div w:id="570235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EDC7-ECDE-4803-B15A-04313C3F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8</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Liliana LUKACS</cp:lastModifiedBy>
  <cp:revision>243</cp:revision>
  <cp:lastPrinted>2016-02-09T11:34:00Z</cp:lastPrinted>
  <dcterms:created xsi:type="dcterms:W3CDTF">2014-04-29T08:58:00Z</dcterms:created>
  <dcterms:modified xsi:type="dcterms:W3CDTF">2016-02-25T18:19:00Z</dcterms:modified>
</cp:coreProperties>
</file>